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1F" w:rsidRDefault="00912E95">
      <w:pPr>
        <w:spacing w:line="560" w:lineRule="exact"/>
        <w:jc w:val="center"/>
        <w:rPr>
          <w:rFonts w:ascii="黑体" w:eastAsia="黑体" w:hAnsi="黑体"/>
          <w:color w:val="FF0000"/>
          <w:sz w:val="44"/>
          <w:szCs w:val="44"/>
        </w:rPr>
      </w:pPr>
      <w:r>
        <w:rPr>
          <w:rFonts w:ascii="黑体" w:eastAsia="黑体" w:hAnsi="黑体" w:hint="eastAsia"/>
          <w:sz w:val="44"/>
          <w:szCs w:val="44"/>
        </w:rPr>
        <w:t>2017年度霸州市劳动和社会保障部门决算信息公开情况说明</w:t>
      </w:r>
    </w:p>
    <w:p w:rsidR="00A70E1F" w:rsidRDefault="00A70E1F">
      <w:pPr>
        <w:widowControl/>
        <w:spacing w:line="560" w:lineRule="exact"/>
        <w:ind w:firstLineChars="200" w:firstLine="640"/>
        <w:rPr>
          <w:rFonts w:ascii="仿宋_GB2312" w:eastAsiaTheme="minorEastAsia" w:hAnsi="仿宋"/>
          <w:color w:val="FF0000"/>
          <w:sz w:val="32"/>
          <w:szCs w:val="32"/>
        </w:rPr>
      </w:pP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按照《预算法》、《河北省财政厅关于印发&lt;河北省预决算公开操作规程实施细则&gt;的通知》（冀财预﹝2016﹞129号）等规定，现将2017年部门决算公开如下：</w:t>
      </w:r>
    </w:p>
    <w:p w:rsidR="00A70E1F" w:rsidRDefault="00912E95">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A70E1F" w:rsidRDefault="00912E95">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部门职责：</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（一）研究拟定全市人事制度改革规划和方案并组织实施；拟定全市人事管理政策和地方性法规草案；对全市人事工作进行指导、督察检查、协调服务；研究拟定机构改革人员定岗和分流政策规定。</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（二）负责全市机关事业单位工作人员总体规划、结构调整和宏观管理；编制下达全市机关事业单位人员计划、工资计划并组织监督实施。</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三）管理全市专业技术人员和专业技术人员队伍建设工作；负责高级专门人才规划、培养工作；负责专业技术人员继续教育工作；研究拟定专业技术骨干人才出国（境）和国外机构在本市招聘专业技术骨干人才的管理政策规定并组织实施。</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（四）拟订全市事业单位人事制度改革总体方案，拟定事业单位职员、专业技术人员管理的政策</w:t>
      </w:r>
      <w:r>
        <w:rPr>
          <w:rFonts w:ascii="仿宋" w:eastAsia="仿宋" w:hAnsi="仿宋"/>
          <w:sz w:val="32"/>
          <w:szCs w:val="32"/>
        </w:rPr>
        <w:lastRenderedPageBreak/>
        <w:t>规定并组织实施；归口管理全市专业技术人员职称工作，完善专业技术职称聘任制度，推行专业技术执业资格制度，完善专业技术资格考试制度。研究指导企业人事制度改革工作。</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（五）综合管理国家公务员工作，完善国家公务员制度；拟订国家公务员各项管理政策、地方性法规草案及实施办法，指导和协调全市实施国家公务员制度工作；制定国家公务员培训规划并组织实施。</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六）负责全市人才资源规划开发工作；拟订人才流动的政策和地方性法规草案，发展、规范人才市场；建立和完善人事争议仲裁制度；组织指导非师范类大中专毕业生、毕业研究生就业制度改革，负责非师范类大中专毕业生、毕业研究生和不包分配大中专毕业生就业录用工作；提出少量国家和省市急需、应予保证的高校毕业生指令性分配计划；承办国家和省市特殊需要人员的选调工作；落实上级有关部门组织选派援疆、援藏干部及其内返安置和驻军随军家属的安置工作；按分工组织实施“农转非”政策。</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（七）综合管理全市机关、事业单位工作人员工资福利工作；组织指导全市机关、事业单位工勤人员建立岗位登记规范及技术等级考核评定工作；管理机关、事业单位工作人员的离退休、退职及伤</w:t>
      </w:r>
      <w:r>
        <w:rPr>
          <w:rFonts w:ascii="仿宋" w:eastAsia="仿宋" w:hAnsi="仿宋"/>
          <w:sz w:val="32"/>
          <w:szCs w:val="32"/>
        </w:rPr>
        <w:lastRenderedPageBreak/>
        <w:t>残政策落实工作。</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八）承办市政府任免人员的行政手续等有关事宜；综合管理政府的奖励、表彰工作，会同有关部门研究拟定政府奖励办法，审核上报政府奖励表彰的人员，协调指导市政府各部门的全市性表彰活动。负责有关奖戒与申诉控告工作。</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（九）负责军队转业干部的安置、培训及随调家属安置和自主择业转业干部的管理工作，研究建立与社会主义市场经济体制相适应的军队转业干部安置制度。</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（十）负责市、乡政府机关及事业单位政务公开工作的统一规划、指导协调、监督检查工作。</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一）贯彻执行《中华人民共和国劳动法》等国家、省制定颁布的有关劳动和社会保障工作的法律法规、政策规定及实施办法，负责劳动和社会保障政策的咨询服务，负责本系统依法行政规范、执法监督规则的实施和监督检查。</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（十二）拟订全市劳动和社会保障制度的总体改革方案，以及全市劳动和社会保障事业发展的中长期规划和年度计划，并组织实施和监督检查。</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（十三）监督检查劳动和社会保障法律、法规执行情况，依法行使国家劳动和社会保障监督检查</w:t>
      </w:r>
      <w:r>
        <w:rPr>
          <w:rFonts w:ascii="仿宋" w:eastAsia="仿宋" w:hAnsi="仿宋"/>
          <w:sz w:val="32"/>
          <w:szCs w:val="32"/>
        </w:rPr>
        <w:lastRenderedPageBreak/>
        <w:t>职权；制定劳动和社会保障监督检查规范。</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四）统筹管理全市劳动力资源的开发利用和就业工作，拟订全市促进城乡就业的基本政策和措施，并组织实施；制定劳动力市场管理规划并实施监督，指导劳动力市场的发展；组织建立健全就业服务体系，指导劳动就业服务事业发展；拟订企业下岗职工分流安置、基本生活保障和再就业以及农村剩余劳动力跨地区有序流动的政策、措施并组织实施。</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五）拟订全市企业职工工资收入及其他劳动报酬的调控政策和措施；负责全市企业工资指导线和最低工资保障的政策组织和实施；综合协调全市非公有制企业劳动工资政策；贯彻执行行业工资收入调节政策和国有企业经营者收入分配政策，并负责市属企业工资总额和经营者收入的审核。</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六）贯彻执行劳动关系基本规则，拟订劳动关系调整和劳动合同、集体合同制度的实施办法，指导和管理劳动合同、集体合同及劳动合同鉴证工作；负责劳动争议仲裁工作；监督检查企业工作时间、休假制度和女工、未成年工特殊保护的政策、规定的实施；制定适用于各类企业惩处职工的基本原则；按分工负责政策性安置和调配工作；参与评定市级企业劳动模范的有关工作。</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（十七）组织贯彻执行职业分类、职业技能国家标准和相关行业标准，推行职业资格证书制度；</w:t>
      </w:r>
      <w:r>
        <w:rPr>
          <w:rFonts w:ascii="仿宋" w:eastAsia="仿宋" w:hAnsi="仿宋"/>
          <w:sz w:val="32"/>
          <w:szCs w:val="32"/>
        </w:rPr>
        <w:lastRenderedPageBreak/>
        <w:t>拟订政府职能部门和社会力量举办的就业培训机构的发展规划、政策和管理规则；拟订企业在职职工技能培训和企业下岗职工、失业人员就业培训的规划、政策和措施，并组织实施；制定职业技能人才培训、表彰、奖励和职业技能竞赛的规则、政策和措施；贯彻执行劳动预备制度，并负责具体办法的实施；负责职业技能培训机构的评估认定和社会培训机构的审批。</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八）负责全市养老、失业、医疗、工伤、生育等社会保险各项法律法规政策的贯彻实施，并组织监督和检查；负责对全市社会保险基金的支付、管理工作，并实施行政监督；负责社会保险经办机构的管理；拟订全市社会保险服务体系规划并组织实施；负责全市补充养老保险、补充医疗保险政策的实施；负责全市企业职工保险福利政策及工伤、职业病伤残等级鉴定和劳动能力鉴定的组织实施工作。</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（十九）负责承担全市人事、劳动和社会保障统计工作和有关信息的采集、处理；组织建设全市人事、劳动和社会保障信息网络；定期发布人事、劳动和社会保障事业信息资料及发展预测报告。</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（二十）拟订本系统干部教育培训的计划，并组织实施；负责管理局直属事业单位。</w:t>
      </w:r>
    </w:p>
    <w:p w:rsidR="00A70E1F" w:rsidRDefault="00912E95">
      <w:pPr>
        <w:spacing w:line="580" w:lineRule="atLeast"/>
        <w:ind w:firstLineChars="200" w:firstLine="640"/>
        <w:rPr>
          <w:rFonts w:ascii="仿宋" w:eastAsia="仿宋" w:hAnsi="仿宋"/>
          <w:sz w:val="32"/>
          <w:szCs w:val="32"/>
        </w:rPr>
      </w:pPr>
      <w:r>
        <w:rPr>
          <w:rFonts w:ascii="仿宋" w:eastAsia="仿宋" w:hAnsi="仿宋"/>
          <w:sz w:val="32"/>
          <w:szCs w:val="32"/>
        </w:rPr>
        <w:t>（二十一）承办市政府交办的其他事项。</w:t>
      </w:r>
    </w:p>
    <w:p w:rsidR="00A70E1F" w:rsidRDefault="00912E95">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lastRenderedPageBreak/>
        <w:t>机构设置：</w:t>
      </w:r>
    </w:p>
    <w:p w:rsidR="00A70E1F" w:rsidRDefault="00912E95">
      <w:pPr>
        <w:spacing w:line="560" w:lineRule="exact"/>
        <w:ind w:firstLineChars="2000" w:firstLine="5600"/>
        <w:outlineLvl w:val="0"/>
        <w:rPr>
          <w:rFonts w:eastAsia="方正小标宋_GBK"/>
          <w:sz w:val="28"/>
          <w:szCs w:val="28"/>
        </w:rPr>
      </w:pPr>
      <w:r>
        <w:rPr>
          <w:rFonts w:eastAsia="方正小标宋_GBK"/>
          <w:sz w:val="28"/>
          <w:szCs w:val="28"/>
        </w:rPr>
        <w:t>部门机构设置情况</w:t>
      </w:r>
    </w:p>
    <w:tbl>
      <w:tblPr>
        <w:tblW w:w="11467" w:type="dxa"/>
        <w:jc w:val="center"/>
        <w:tblInd w:w="-23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25"/>
        <w:gridCol w:w="1985"/>
        <w:gridCol w:w="2551"/>
        <w:gridCol w:w="2506"/>
      </w:tblGrid>
      <w:tr w:rsidR="00A70E1F">
        <w:trPr>
          <w:trHeight w:val="560"/>
          <w:tblHeader/>
          <w:jc w:val="center"/>
        </w:trPr>
        <w:tc>
          <w:tcPr>
            <w:tcW w:w="4425" w:type="dxa"/>
            <w:vMerge w:val="restart"/>
            <w:vAlign w:val="center"/>
          </w:tcPr>
          <w:p w:rsidR="00A70E1F" w:rsidRDefault="00912E95">
            <w:pPr>
              <w:spacing w:line="560" w:lineRule="exact"/>
              <w:ind w:firstLineChars="200" w:firstLine="422"/>
              <w:rPr>
                <w:rFonts w:eastAsia="方正书宋_GBK"/>
                <w:b/>
              </w:rPr>
            </w:pPr>
            <w:r>
              <w:rPr>
                <w:rFonts w:eastAsia="方正书宋_GBK"/>
                <w:b/>
              </w:rPr>
              <w:t>单位名称</w:t>
            </w:r>
          </w:p>
        </w:tc>
        <w:tc>
          <w:tcPr>
            <w:tcW w:w="1985" w:type="dxa"/>
            <w:vMerge w:val="restart"/>
            <w:vAlign w:val="center"/>
          </w:tcPr>
          <w:p w:rsidR="00A70E1F" w:rsidRDefault="00912E95">
            <w:pPr>
              <w:spacing w:line="560" w:lineRule="exact"/>
              <w:ind w:firstLineChars="200" w:firstLine="422"/>
              <w:rPr>
                <w:rFonts w:eastAsia="方正书宋_GBK"/>
                <w:b/>
              </w:rPr>
            </w:pPr>
            <w:r>
              <w:rPr>
                <w:rFonts w:eastAsia="方正书宋_GBK"/>
                <w:b/>
              </w:rPr>
              <w:t>单位性质</w:t>
            </w:r>
          </w:p>
        </w:tc>
        <w:tc>
          <w:tcPr>
            <w:tcW w:w="2551" w:type="dxa"/>
            <w:vMerge w:val="restart"/>
            <w:vAlign w:val="center"/>
          </w:tcPr>
          <w:p w:rsidR="00A70E1F" w:rsidRDefault="00912E95">
            <w:pPr>
              <w:spacing w:line="560" w:lineRule="exact"/>
              <w:jc w:val="center"/>
              <w:rPr>
                <w:rFonts w:eastAsia="方正书宋_GBK"/>
                <w:b/>
              </w:rPr>
            </w:pPr>
            <w:r>
              <w:rPr>
                <w:rFonts w:eastAsia="方正书宋_GBK"/>
                <w:b/>
              </w:rPr>
              <w:t>单位规格</w:t>
            </w:r>
          </w:p>
        </w:tc>
        <w:tc>
          <w:tcPr>
            <w:tcW w:w="2506" w:type="dxa"/>
            <w:vMerge w:val="restart"/>
            <w:vAlign w:val="center"/>
          </w:tcPr>
          <w:p w:rsidR="00A70E1F" w:rsidRDefault="00912E95">
            <w:pPr>
              <w:spacing w:line="560" w:lineRule="exact"/>
              <w:ind w:firstLineChars="200" w:firstLine="422"/>
              <w:rPr>
                <w:rFonts w:eastAsia="方正书宋_GBK"/>
                <w:b/>
              </w:rPr>
            </w:pPr>
            <w:r>
              <w:rPr>
                <w:rFonts w:eastAsia="方正书宋_GBK"/>
                <w:b/>
              </w:rPr>
              <w:t>经费保障形式</w:t>
            </w:r>
          </w:p>
        </w:tc>
      </w:tr>
      <w:tr w:rsidR="00A70E1F">
        <w:trPr>
          <w:trHeight w:val="560"/>
          <w:tblHeader/>
          <w:jc w:val="center"/>
        </w:trPr>
        <w:tc>
          <w:tcPr>
            <w:tcW w:w="4425" w:type="dxa"/>
            <w:vMerge/>
            <w:vAlign w:val="center"/>
          </w:tcPr>
          <w:p w:rsidR="00A70E1F" w:rsidRDefault="00A70E1F">
            <w:pPr>
              <w:spacing w:line="560" w:lineRule="exact"/>
              <w:ind w:firstLineChars="200" w:firstLine="420"/>
              <w:outlineLvl w:val="0"/>
            </w:pPr>
          </w:p>
        </w:tc>
        <w:tc>
          <w:tcPr>
            <w:tcW w:w="1985" w:type="dxa"/>
            <w:vMerge/>
            <w:vAlign w:val="center"/>
          </w:tcPr>
          <w:p w:rsidR="00A70E1F" w:rsidRDefault="00A70E1F">
            <w:pPr>
              <w:spacing w:line="560" w:lineRule="exact"/>
              <w:ind w:firstLineChars="200" w:firstLine="420"/>
              <w:outlineLvl w:val="0"/>
            </w:pPr>
          </w:p>
        </w:tc>
        <w:tc>
          <w:tcPr>
            <w:tcW w:w="2551" w:type="dxa"/>
            <w:vMerge/>
            <w:vAlign w:val="center"/>
          </w:tcPr>
          <w:p w:rsidR="00A70E1F" w:rsidRDefault="00A70E1F">
            <w:pPr>
              <w:spacing w:line="560" w:lineRule="exact"/>
              <w:ind w:firstLineChars="200" w:firstLine="420"/>
              <w:outlineLvl w:val="0"/>
            </w:pPr>
          </w:p>
        </w:tc>
        <w:tc>
          <w:tcPr>
            <w:tcW w:w="2506" w:type="dxa"/>
            <w:vMerge/>
            <w:vAlign w:val="center"/>
          </w:tcPr>
          <w:p w:rsidR="00A70E1F" w:rsidRDefault="00A70E1F">
            <w:pPr>
              <w:spacing w:line="560" w:lineRule="exact"/>
              <w:ind w:firstLineChars="200" w:firstLine="420"/>
              <w:outlineLvl w:val="0"/>
            </w:pP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霸州市劳动和社会保障局</w:t>
            </w:r>
            <w:r>
              <w:rPr>
                <w:rFonts w:eastAsia="方正书宋_GBK"/>
              </w:rPr>
              <w:t>(</w:t>
            </w:r>
            <w:r>
              <w:rPr>
                <w:rFonts w:eastAsia="方正书宋_GBK"/>
              </w:rPr>
              <w:t>机关</w:t>
            </w:r>
            <w:r>
              <w:rPr>
                <w:rFonts w:eastAsia="方正书宋_GBK"/>
              </w:rPr>
              <w:t>)</w:t>
            </w:r>
          </w:p>
        </w:tc>
        <w:tc>
          <w:tcPr>
            <w:tcW w:w="1985" w:type="dxa"/>
            <w:vAlign w:val="center"/>
          </w:tcPr>
          <w:p w:rsidR="00A70E1F" w:rsidRDefault="00912E95">
            <w:pPr>
              <w:spacing w:line="300" w:lineRule="exact"/>
              <w:jc w:val="center"/>
              <w:rPr>
                <w:rFonts w:eastAsia="方正书宋_GBK"/>
              </w:rPr>
            </w:pPr>
            <w:r>
              <w:rPr>
                <w:rFonts w:eastAsia="方正书宋_GBK" w:hint="eastAsia"/>
              </w:rPr>
              <w:t>行政</w:t>
            </w:r>
          </w:p>
        </w:tc>
        <w:tc>
          <w:tcPr>
            <w:tcW w:w="2551" w:type="dxa"/>
            <w:vAlign w:val="center"/>
          </w:tcPr>
          <w:p w:rsidR="00A70E1F" w:rsidRDefault="00912E95">
            <w:pPr>
              <w:spacing w:line="300" w:lineRule="exact"/>
              <w:jc w:val="center"/>
              <w:rPr>
                <w:rFonts w:eastAsia="方正书宋_GBK"/>
              </w:rPr>
            </w:pPr>
            <w:r>
              <w:rPr>
                <w:rFonts w:eastAsia="方正书宋_GBK" w:hint="eastAsia"/>
              </w:rPr>
              <w:t>正科级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财政拨款</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霸州市社会保险事业管理所</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正股级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霸州市医疗保险管理结算中心</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正股级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霸州市就业服务局</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副科级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霸州市农村社会保险所</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正股级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霸州市工伤保险事业管理所</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正股级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霸州市城乡居民医疗保险管理中心</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正股级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霸州市劳动保障分局</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副科级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r w:rsidR="00A70E1F">
        <w:trPr>
          <w:trHeight w:val="371"/>
          <w:jc w:val="center"/>
        </w:trPr>
        <w:tc>
          <w:tcPr>
            <w:tcW w:w="4425" w:type="dxa"/>
            <w:vAlign w:val="center"/>
          </w:tcPr>
          <w:p w:rsidR="00A70E1F" w:rsidRDefault="00912E95">
            <w:pPr>
              <w:spacing w:line="560" w:lineRule="exact"/>
              <w:rPr>
                <w:rFonts w:eastAsia="方正书宋_GBK"/>
              </w:rPr>
            </w:pPr>
            <w:r>
              <w:rPr>
                <w:rFonts w:eastAsia="方正书宋_GBK" w:hint="eastAsia"/>
              </w:rPr>
              <w:t>霸州市离退休人员管理中心</w:t>
            </w:r>
          </w:p>
        </w:tc>
        <w:tc>
          <w:tcPr>
            <w:tcW w:w="1985" w:type="dxa"/>
            <w:vAlign w:val="center"/>
          </w:tcPr>
          <w:p w:rsidR="00A70E1F" w:rsidRDefault="00912E95">
            <w:pPr>
              <w:spacing w:line="300" w:lineRule="exact"/>
              <w:jc w:val="center"/>
              <w:rPr>
                <w:rFonts w:eastAsia="方正书宋_GBK"/>
              </w:rPr>
            </w:pPr>
            <w:r>
              <w:rPr>
                <w:rFonts w:eastAsia="方正书宋_GBK" w:hint="eastAsia"/>
              </w:rPr>
              <w:t>事业</w:t>
            </w:r>
          </w:p>
        </w:tc>
        <w:tc>
          <w:tcPr>
            <w:tcW w:w="2551" w:type="dxa"/>
            <w:vAlign w:val="center"/>
          </w:tcPr>
          <w:p w:rsidR="00A70E1F" w:rsidRDefault="00912E95">
            <w:pPr>
              <w:spacing w:line="300" w:lineRule="exact"/>
              <w:jc w:val="center"/>
              <w:rPr>
                <w:rFonts w:eastAsia="方正书宋_GBK"/>
              </w:rPr>
            </w:pPr>
            <w:r>
              <w:rPr>
                <w:rFonts w:eastAsia="方正书宋_GBK" w:hint="eastAsia"/>
              </w:rPr>
              <w:t>正股级</w:t>
            </w:r>
          </w:p>
        </w:tc>
        <w:tc>
          <w:tcPr>
            <w:tcW w:w="2506" w:type="dxa"/>
            <w:vAlign w:val="center"/>
          </w:tcPr>
          <w:p w:rsidR="00A70E1F" w:rsidRDefault="00912E95">
            <w:pPr>
              <w:spacing w:line="300" w:lineRule="exact"/>
              <w:jc w:val="center"/>
              <w:rPr>
                <w:rFonts w:eastAsia="方正书宋_GBK"/>
              </w:rPr>
            </w:pPr>
            <w:r>
              <w:rPr>
                <w:rFonts w:eastAsia="方正书宋_GBK" w:hint="eastAsia"/>
              </w:rPr>
              <w:t>财政性资金基本保证</w:t>
            </w:r>
          </w:p>
        </w:tc>
      </w:tr>
    </w:tbl>
    <w:p w:rsidR="00A70E1F" w:rsidRDefault="00A70E1F">
      <w:pPr>
        <w:spacing w:line="560" w:lineRule="exact"/>
        <w:ind w:firstLineChars="200" w:firstLine="560"/>
        <w:rPr>
          <w:rFonts w:ascii="仿宋" w:eastAsia="仿宋" w:hAnsi="仿宋" w:cs="仿宋"/>
          <w:color w:val="FF0000"/>
          <w:sz w:val="28"/>
          <w:szCs w:val="28"/>
        </w:rPr>
      </w:pPr>
    </w:p>
    <w:p w:rsidR="00A70E1F" w:rsidRDefault="00912E95">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部门决算报表</w:t>
      </w:r>
    </w:p>
    <w:p w:rsidR="00A70E1F" w:rsidRDefault="00912E95" w:rsidP="00736D70">
      <w:pPr>
        <w:numPr>
          <w:ilvl w:val="0"/>
          <w:numId w:val="2"/>
        </w:numPr>
        <w:tabs>
          <w:tab w:val="left" w:pos="544"/>
        </w:tabs>
        <w:spacing w:line="560" w:lineRule="exact"/>
        <w:ind w:leftChars="200" w:left="420"/>
        <w:rPr>
          <w:rFonts w:ascii="仿宋" w:eastAsia="仿宋" w:hAnsi="仿宋" w:cs="仿宋"/>
          <w:sz w:val="32"/>
          <w:szCs w:val="32"/>
        </w:rPr>
      </w:pPr>
      <w:r>
        <w:rPr>
          <w:rFonts w:ascii="仿宋" w:eastAsia="仿宋" w:hAnsi="仿宋" w:cs="仿宋" w:hint="eastAsia"/>
          <w:sz w:val="32"/>
          <w:szCs w:val="32"/>
        </w:rPr>
        <w:t>一般公共预算财政拨款</w:t>
      </w:r>
    </w:p>
    <w:p w:rsidR="00A70E1F" w:rsidRDefault="00912E95" w:rsidP="00736D70">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收入支出决算表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收入决算表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支出决算表财政拨款收入</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支出决算总表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一般公共预算财政拨款收入支出决算表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政府性基金预算财政拨款收入支出决算表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国有资本经营预算财政拨款收入支出决算表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"三公"经费及相关信息统计表</w:t>
      </w:r>
    </w:p>
    <w:p w:rsidR="00A70E1F" w:rsidRDefault="00912E95">
      <w:pPr>
        <w:numPr>
          <w:ilvl w:val="0"/>
          <w:numId w:val="2"/>
        </w:numPr>
        <w:spacing w:line="560" w:lineRule="exact"/>
        <w:ind w:leftChars="200" w:left="420"/>
        <w:rPr>
          <w:rFonts w:ascii="仿宋" w:eastAsia="仿宋" w:hAnsi="仿宋" w:cs="仿宋"/>
          <w:sz w:val="32"/>
          <w:szCs w:val="32"/>
        </w:rPr>
      </w:pPr>
      <w:r>
        <w:rPr>
          <w:rFonts w:ascii="仿宋" w:eastAsia="仿宋" w:hAnsi="仿宋" w:cs="仿宋" w:hint="eastAsia"/>
          <w:sz w:val="32"/>
          <w:szCs w:val="32"/>
        </w:rPr>
        <w:t>政府采购情况表</w:t>
      </w:r>
    </w:p>
    <w:p w:rsidR="00A70E1F" w:rsidRDefault="00912E95">
      <w:pPr>
        <w:spacing w:line="560" w:lineRule="exact"/>
        <w:ind w:firstLineChars="252" w:firstLine="806"/>
        <w:rPr>
          <w:rFonts w:ascii="黑体" w:eastAsia="黑体" w:hAnsi="黑体"/>
          <w:sz w:val="32"/>
          <w:szCs w:val="32"/>
        </w:rPr>
      </w:pPr>
      <w:r>
        <w:rPr>
          <w:rFonts w:eastAsia="黑体" w:hint="eastAsia"/>
          <w:sz w:val="32"/>
          <w:szCs w:val="32"/>
        </w:rPr>
        <w:t>三</w:t>
      </w:r>
      <w:r>
        <w:rPr>
          <w:rFonts w:eastAsia="黑体"/>
          <w:sz w:val="32"/>
          <w:szCs w:val="32"/>
        </w:rPr>
        <w:t>、</w:t>
      </w:r>
      <w:r>
        <w:rPr>
          <w:rFonts w:ascii="黑体" w:eastAsia="黑体" w:hAnsi="黑体" w:hint="eastAsia"/>
          <w:sz w:val="32"/>
          <w:szCs w:val="32"/>
        </w:rPr>
        <w:t>2017年度部门决算情况说明</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A70E1F" w:rsidRDefault="00912E9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霸州市劳动和社会保障部门</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w:t>
      </w:r>
      <w:r>
        <w:rPr>
          <w:rFonts w:ascii="仿宋" w:eastAsia="仿宋" w:hAnsi="仿宋" w:hint="eastAsia"/>
          <w:sz w:val="32"/>
          <w:szCs w:val="32"/>
        </w:rPr>
        <w:t>度</w:t>
      </w:r>
      <w:r>
        <w:rPr>
          <w:rFonts w:ascii="仿宋" w:eastAsia="仿宋" w:hAnsi="仿宋"/>
          <w:sz w:val="32"/>
          <w:szCs w:val="32"/>
        </w:rPr>
        <w:t>决算收入总计</w:t>
      </w:r>
      <w:r>
        <w:rPr>
          <w:rFonts w:ascii="仿宋" w:eastAsia="仿宋" w:hAnsi="仿宋" w:hint="eastAsia"/>
          <w:sz w:val="32"/>
          <w:szCs w:val="32"/>
        </w:rPr>
        <w:t>58960.56</w:t>
      </w:r>
      <w:r>
        <w:rPr>
          <w:rFonts w:ascii="仿宋" w:eastAsia="仿宋" w:hAnsi="仿宋"/>
          <w:sz w:val="32"/>
          <w:szCs w:val="32"/>
        </w:rPr>
        <w:t>万元，决算支出总计</w:t>
      </w:r>
      <w:r>
        <w:rPr>
          <w:rFonts w:ascii="仿宋" w:eastAsia="仿宋" w:hAnsi="仿宋" w:hint="eastAsia"/>
          <w:sz w:val="32"/>
          <w:szCs w:val="32"/>
        </w:rPr>
        <w:t>60463.88</w:t>
      </w:r>
      <w:r>
        <w:rPr>
          <w:rFonts w:ascii="仿宋" w:eastAsia="仿宋" w:hAnsi="仿宋"/>
          <w:sz w:val="32"/>
          <w:szCs w:val="32"/>
        </w:rPr>
        <w:t>万元。与2016年</w:t>
      </w:r>
      <w:r>
        <w:rPr>
          <w:rFonts w:ascii="仿宋" w:eastAsia="仿宋" w:hAnsi="仿宋" w:hint="eastAsia"/>
          <w:sz w:val="32"/>
          <w:szCs w:val="32"/>
        </w:rPr>
        <w:t>度决算</w:t>
      </w:r>
      <w:r>
        <w:rPr>
          <w:rFonts w:ascii="仿宋" w:eastAsia="仿宋" w:hAnsi="仿宋"/>
          <w:sz w:val="32"/>
          <w:szCs w:val="32"/>
        </w:rPr>
        <w:t>相比，决算收入</w:t>
      </w:r>
      <w:r>
        <w:rPr>
          <w:rFonts w:ascii="仿宋" w:eastAsia="仿宋" w:hAnsi="仿宋" w:hint="eastAsia"/>
          <w:sz w:val="32"/>
          <w:szCs w:val="32"/>
        </w:rPr>
        <w:t>增加4949.43</w:t>
      </w:r>
      <w:r>
        <w:rPr>
          <w:rFonts w:ascii="仿宋" w:eastAsia="仿宋" w:hAnsi="仿宋"/>
          <w:sz w:val="32"/>
          <w:szCs w:val="32"/>
        </w:rPr>
        <w:t>万元，</w:t>
      </w:r>
      <w:r>
        <w:rPr>
          <w:rFonts w:ascii="仿宋" w:eastAsia="仿宋" w:hAnsi="仿宋" w:hint="eastAsia"/>
          <w:sz w:val="32"/>
          <w:szCs w:val="32"/>
        </w:rPr>
        <w:t>增长9.16</w:t>
      </w:r>
      <w:r>
        <w:rPr>
          <w:rFonts w:ascii="仿宋" w:eastAsia="仿宋" w:hAnsi="仿宋"/>
          <w:sz w:val="32"/>
          <w:szCs w:val="32"/>
        </w:rPr>
        <w:t>%，主要原因是</w:t>
      </w:r>
      <w:r>
        <w:rPr>
          <w:rFonts w:ascii="仿宋" w:eastAsia="仿宋" w:hAnsi="仿宋" w:hint="eastAsia"/>
          <w:sz w:val="32"/>
          <w:szCs w:val="32"/>
        </w:rPr>
        <w:t>增加了补助被征</w:t>
      </w:r>
      <w:r>
        <w:rPr>
          <w:rFonts w:ascii="仿宋" w:eastAsia="仿宋" w:hAnsi="仿宋" w:hint="eastAsia"/>
          <w:sz w:val="32"/>
          <w:szCs w:val="32"/>
        </w:rPr>
        <w:lastRenderedPageBreak/>
        <w:t>地农民支出</w:t>
      </w:r>
      <w:r>
        <w:rPr>
          <w:rFonts w:ascii="仿宋" w:eastAsia="仿宋" w:hAnsi="仿宋"/>
          <w:sz w:val="32"/>
          <w:szCs w:val="32"/>
        </w:rPr>
        <w:t>。决算支出</w:t>
      </w:r>
      <w:r>
        <w:rPr>
          <w:rFonts w:ascii="仿宋" w:eastAsia="仿宋" w:hAnsi="仿宋" w:hint="eastAsia"/>
          <w:sz w:val="32"/>
          <w:szCs w:val="32"/>
        </w:rPr>
        <w:t>增加10676.81</w:t>
      </w:r>
      <w:r>
        <w:rPr>
          <w:rFonts w:ascii="仿宋" w:eastAsia="仿宋" w:hAnsi="仿宋"/>
          <w:sz w:val="32"/>
          <w:szCs w:val="32"/>
        </w:rPr>
        <w:t>万元，</w:t>
      </w:r>
      <w:r>
        <w:rPr>
          <w:rFonts w:ascii="仿宋" w:eastAsia="仿宋" w:hAnsi="仿宋" w:hint="eastAsia"/>
          <w:sz w:val="32"/>
          <w:szCs w:val="32"/>
        </w:rPr>
        <w:t>增长21.44</w:t>
      </w:r>
      <w:r>
        <w:rPr>
          <w:rFonts w:ascii="仿宋" w:eastAsia="仿宋" w:hAnsi="仿宋"/>
          <w:sz w:val="32"/>
          <w:szCs w:val="32"/>
        </w:rPr>
        <w:t>%，主要原因是</w:t>
      </w:r>
      <w:r>
        <w:rPr>
          <w:rFonts w:ascii="仿宋" w:eastAsia="仿宋" w:hAnsi="仿宋" w:hint="eastAsia"/>
          <w:sz w:val="32"/>
          <w:szCs w:val="32"/>
        </w:rPr>
        <w:t>增加了补助被征地农民支出</w:t>
      </w:r>
      <w:r>
        <w:rPr>
          <w:rFonts w:ascii="仿宋" w:eastAsia="仿宋" w:hAnsi="仿宋"/>
          <w:sz w:val="32"/>
          <w:szCs w:val="32"/>
        </w:rPr>
        <w:t>。</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霸州市劳动和社会保障部门</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w:t>
      </w:r>
      <w:r>
        <w:rPr>
          <w:rFonts w:ascii="仿宋" w:eastAsia="仿宋" w:hAnsi="仿宋" w:hint="eastAsia"/>
          <w:sz w:val="32"/>
          <w:szCs w:val="32"/>
        </w:rPr>
        <w:t>度</w:t>
      </w:r>
      <w:r>
        <w:rPr>
          <w:rFonts w:ascii="仿宋" w:eastAsia="仿宋" w:hAnsi="仿宋"/>
          <w:sz w:val="32"/>
          <w:szCs w:val="32"/>
        </w:rPr>
        <w:t>收入</w:t>
      </w:r>
      <w:r>
        <w:rPr>
          <w:rFonts w:ascii="仿宋" w:eastAsia="仿宋" w:hAnsi="仿宋" w:hint="eastAsia"/>
          <w:sz w:val="32"/>
          <w:szCs w:val="32"/>
        </w:rPr>
        <w:t>合计58960.56</w:t>
      </w:r>
      <w:r>
        <w:rPr>
          <w:rFonts w:ascii="仿宋" w:eastAsia="仿宋" w:hAnsi="仿宋"/>
          <w:sz w:val="32"/>
          <w:szCs w:val="32"/>
        </w:rPr>
        <w:t>万元，其中</w:t>
      </w:r>
      <w:r>
        <w:rPr>
          <w:rFonts w:ascii="仿宋" w:eastAsia="仿宋" w:hAnsi="仿宋" w:hint="eastAsia"/>
          <w:sz w:val="32"/>
          <w:szCs w:val="32"/>
        </w:rPr>
        <w:t>财政拨款收入58953.22</w:t>
      </w:r>
      <w:r>
        <w:rPr>
          <w:rFonts w:ascii="仿宋" w:eastAsia="仿宋" w:hAnsi="仿宋"/>
          <w:sz w:val="32"/>
          <w:szCs w:val="32"/>
        </w:rPr>
        <w:t>万元</w:t>
      </w:r>
      <w:r>
        <w:rPr>
          <w:rFonts w:ascii="仿宋" w:eastAsia="仿宋" w:hAnsi="仿宋" w:hint="eastAsia"/>
          <w:sz w:val="32"/>
          <w:szCs w:val="32"/>
        </w:rPr>
        <w:t>，占比99.99%；事业收入0万元，占比0%；其他收入7.34万元，占比0.01%。</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霸州市劳动和社会保障部门</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年部门</w:t>
      </w:r>
      <w:r>
        <w:rPr>
          <w:rFonts w:ascii="仿宋" w:eastAsia="仿宋" w:hAnsi="仿宋" w:hint="eastAsia"/>
          <w:sz w:val="32"/>
          <w:szCs w:val="32"/>
        </w:rPr>
        <w:t>决</w:t>
      </w:r>
      <w:r>
        <w:rPr>
          <w:rFonts w:ascii="仿宋" w:eastAsia="仿宋" w:hAnsi="仿宋"/>
          <w:sz w:val="32"/>
          <w:szCs w:val="32"/>
        </w:rPr>
        <w:t>算支出为</w:t>
      </w:r>
      <w:r>
        <w:rPr>
          <w:rFonts w:ascii="仿宋" w:eastAsia="仿宋" w:hAnsi="仿宋" w:hint="eastAsia"/>
          <w:sz w:val="32"/>
          <w:szCs w:val="32"/>
        </w:rPr>
        <w:t>60463.88</w:t>
      </w:r>
      <w:r>
        <w:rPr>
          <w:rFonts w:ascii="仿宋" w:eastAsia="仿宋" w:hAnsi="仿宋"/>
          <w:sz w:val="32"/>
          <w:szCs w:val="32"/>
        </w:rPr>
        <w:t>万元，其中：基本支出</w:t>
      </w:r>
      <w:r>
        <w:rPr>
          <w:rFonts w:ascii="仿宋" w:eastAsia="仿宋" w:hAnsi="仿宋" w:hint="eastAsia"/>
          <w:sz w:val="32"/>
          <w:szCs w:val="32"/>
        </w:rPr>
        <w:t>4595.63</w:t>
      </w:r>
      <w:r>
        <w:rPr>
          <w:rFonts w:ascii="仿宋" w:eastAsia="仿宋" w:hAnsi="仿宋"/>
          <w:sz w:val="32"/>
          <w:szCs w:val="32"/>
        </w:rPr>
        <w:t>万元，</w:t>
      </w:r>
      <w:r>
        <w:rPr>
          <w:rFonts w:ascii="仿宋" w:eastAsia="仿宋" w:hAnsi="仿宋" w:hint="eastAsia"/>
          <w:sz w:val="32"/>
          <w:szCs w:val="32"/>
        </w:rPr>
        <w:t>占比7.6%，</w:t>
      </w:r>
      <w:r>
        <w:rPr>
          <w:rFonts w:ascii="仿宋" w:eastAsia="仿宋" w:hAnsi="仿宋"/>
          <w:sz w:val="32"/>
          <w:szCs w:val="32"/>
        </w:rPr>
        <w:t>包含人员经费支出</w:t>
      </w:r>
      <w:r>
        <w:rPr>
          <w:rFonts w:ascii="仿宋" w:eastAsia="仿宋" w:hAnsi="仿宋" w:hint="eastAsia"/>
          <w:sz w:val="32"/>
          <w:szCs w:val="32"/>
        </w:rPr>
        <w:t>4267.21</w:t>
      </w:r>
      <w:r>
        <w:rPr>
          <w:rFonts w:ascii="仿宋" w:eastAsia="仿宋" w:hAnsi="仿宋"/>
          <w:sz w:val="32"/>
          <w:szCs w:val="32"/>
        </w:rPr>
        <w:t>万元和日常公用经费支出</w:t>
      </w:r>
      <w:r>
        <w:rPr>
          <w:rFonts w:ascii="仿宋" w:eastAsia="仿宋" w:hAnsi="仿宋" w:hint="eastAsia"/>
          <w:sz w:val="32"/>
          <w:szCs w:val="32"/>
        </w:rPr>
        <w:t>328.42</w:t>
      </w:r>
      <w:r>
        <w:rPr>
          <w:rFonts w:ascii="仿宋" w:eastAsia="仿宋" w:hAnsi="仿宋"/>
          <w:sz w:val="32"/>
          <w:szCs w:val="32"/>
        </w:rPr>
        <w:t>万元；项目支出</w:t>
      </w:r>
      <w:r>
        <w:rPr>
          <w:rFonts w:ascii="仿宋" w:eastAsia="仿宋" w:hAnsi="仿宋" w:hint="eastAsia"/>
          <w:sz w:val="32"/>
          <w:szCs w:val="32"/>
        </w:rPr>
        <w:t>55868.25</w:t>
      </w:r>
      <w:r>
        <w:rPr>
          <w:rFonts w:ascii="仿宋" w:eastAsia="仿宋" w:hAnsi="仿宋"/>
          <w:sz w:val="32"/>
          <w:szCs w:val="32"/>
        </w:rPr>
        <w:t>万元</w:t>
      </w:r>
      <w:r>
        <w:rPr>
          <w:rFonts w:ascii="仿宋" w:eastAsia="仿宋" w:hAnsi="仿宋" w:hint="eastAsia"/>
          <w:sz w:val="32"/>
          <w:szCs w:val="32"/>
        </w:rPr>
        <w:t>，占比92.4%</w:t>
      </w:r>
      <w:r>
        <w:rPr>
          <w:rFonts w:ascii="仿宋" w:eastAsia="仿宋" w:hAnsi="仿宋"/>
          <w:sz w:val="32"/>
          <w:szCs w:val="32"/>
        </w:rPr>
        <w:t>。</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A70E1F" w:rsidRDefault="00912E95">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t>1、财政拨款收支与2016年度决算对比情况</w:t>
      </w:r>
    </w:p>
    <w:p w:rsidR="00A70E1F" w:rsidRDefault="00912E9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霸州市劳动和社会保障部门2017年财政拨款收入决算总计58953.22万元，较2016年度决算增加</w:t>
      </w:r>
      <w:r w:rsidR="00295B2C">
        <w:rPr>
          <w:rFonts w:ascii="仿宋" w:eastAsia="仿宋" w:hAnsi="仿宋" w:hint="eastAsia"/>
          <w:sz w:val="32"/>
          <w:szCs w:val="32"/>
        </w:rPr>
        <w:t>4978.17</w:t>
      </w:r>
      <w:r>
        <w:rPr>
          <w:rFonts w:ascii="仿宋" w:eastAsia="仿宋" w:hAnsi="仿宋" w:hint="eastAsia"/>
          <w:sz w:val="32"/>
          <w:szCs w:val="32"/>
        </w:rPr>
        <w:t>万元，增长9.</w:t>
      </w:r>
      <w:r w:rsidR="00295B2C">
        <w:rPr>
          <w:rFonts w:ascii="仿宋" w:eastAsia="仿宋" w:hAnsi="仿宋" w:hint="eastAsia"/>
          <w:sz w:val="32"/>
          <w:szCs w:val="32"/>
        </w:rPr>
        <w:t>22</w:t>
      </w:r>
      <w:r>
        <w:rPr>
          <w:rFonts w:ascii="仿宋" w:eastAsia="仿宋" w:hAnsi="仿宋" w:hint="eastAsia"/>
          <w:sz w:val="32"/>
          <w:szCs w:val="32"/>
        </w:rPr>
        <w:t>%，主要原因是增加了补助被征地农民支出。其中，一般公共预算拨款减少2227.25万元，政府性基金预算财政拨款增加7205.42万元。2017年财政拨款支出决算总计60451.36万元，较2016年度决算增加10685.97万元，增长21.47%，主要原因是增加了补助被征地农民支出。其中基本支出减少1026.2万元，项目支出增加4506.76万元。</w:t>
      </w:r>
    </w:p>
    <w:p w:rsidR="00A70E1F" w:rsidRDefault="00912E95">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lastRenderedPageBreak/>
        <w:t>2、财政拨款收支与年初预算数对比情况</w:t>
      </w:r>
    </w:p>
    <w:p w:rsidR="00A70E1F" w:rsidRDefault="00912E9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霸州市劳动和社会保障部门2017年财政拨款收入决算总计58953.22万元，较年初预算增加5810.26万元，增长10.93%，主要原因是增加了中央补助就业专项资金与离退休人员经费。其中，一般公共预算拨款增加5404.84万元，政府性基金预算财政拨款增加405.42万元。2017年财政拨款支出决算总计60451.36万元，较年初预算增加7308.4万元，增长13.75%，主要原因是增加了中央补助就业专项资金与离退休人员经费。其中基本支出增加1817.72万元，项目支出增加5490.67万元。</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2017年度部门“三公”经费支出23.99万元，比预算减少37.63万元，比2016年度决算减少28.18万元。原因是厉行节约，缩减日常开支。其中：因公出国（境）费0万元（本单位2017年度组织出国（境）团组0个，因公出国（境）人次数0人），与预算持平，与2016年度决算持平；公务用车购置及运行维护费23.99万元（公务用车购置数量</w:t>
      </w:r>
      <w:r w:rsidR="005F5A40">
        <w:rPr>
          <w:rFonts w:ascii="仿宋" w:eastAsia="仿宋" w:hAnsi="仿宋" w:hint="eastAsia"/>
          <w:sz w:val="32"/>
          <w:szCs w:val="32"/>
        </w:rPr>
        <w:t>0</w:t>
      </w:r>
      <w:r>
        <w:rPr>
          <w:rFonts w:ascii="仿宋" w:eastAsia="仿宋" w:hAnsi="仿宋" w:hint="eastAsia"/>
          <w:sz w:val="32"/>
          <w:szCs w:val="32"/>
        </w:rPr>
        <w:t xml:space="preserve">辆，购置金额 </w:t>
      </w:r>
      <w:r w:rsidR="005F5A40">
        <w:rPr>
          <w:rFonts w:ascii="仿宋" w:eastAsia="仿宋" w:hAnsi="仿宋" w:hint="eastAsia"/>
          <w:sz w:val="32"/>
          <w:szCs w:val="32"/>
        </w:rPr>
        <w:t>0</w:t>
      </w:r>
      <w:r>
        <w:rPr>
          <w:rFonts w:ascii="仿宋" w:eastAsia="仿宋" w:hAnsi="仿宋" w:hint="eastAsia"/>
          <w:sz w:val="32"/>
          <w:szCs w:val="32"/>
        </w:rPr>
        <w:t>万元，公车运行维护费23.99万元，年末公务用车保有量16辆），比预算减少36.01万元，比2016年度决算减少28.18万元，原因是厉行节约，缩减日常开支；公务接待费0万元（2017年度国内公务接待0批次，合计接待0人次），比预算减少1.62万元，与2016年度持平。</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A70E1F" w:rsidRDefault="00912E95">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lastRenderedPageBreak/>
        <w:t>1、预算绩效管理工作开展情况</w:t>
      </w:r>
    </w:p>
    <w:p w:rsidR="00A70E1F" w:rsidRDefault="00912E95">
      <w:pPr>
        <w:pStyle w:val="a5"/>
        <w:spacing w:before="0" w:beforeAutospacing="0" w:after="0" w:afterAutospacing="0" w:line="560" w:lineRule="exact"/>
        <w:ind w:firstLineChars="200" w:firstLine="640"/>
        <w:rPr>
          <w:rFonts w:ascii="仿宋" w:eastAsia="仿宋" w:hAnsi="仿宋"/>
        </w:rPr>
      </w:pPr>
      <w:r>
        <w:rPr>
          <w:rFonts w:ascii="仿宋" w:eastAsia="仿宋" w:hAnsi="仿宋" w:hint="eastAsia"/>
          <w:sz w:val="32"/>
          <w:szCs w:val="32"/>
        </w:rPr>
        <w:t>2017年，认真贯彻落实财政部预算绩效管理工作要求，深化预算绩效管理工作，不断完善预算绩效管理制度。</w:t>
      </w:r>
    </w:p>
    <w:p w:rsidR="00A70E1F" w:rsidRPr="0060413B" w:rsidRDefault="00912E95" w:rsidP="0060413B">
      <w:pPr>
        <w:ind w:firstLine="560"/>
        <w:rPr>
          <w:rFonts w:ascii="方正仿宋_GBK" w:eastAsia="方正仿宋_GBK"/>
          <w:sz w:val="28"/>
        </w:rPr>
      </w:pPr>
      <w:r>
        <w:rPr>
          <w:rStyle w:val="a6"/>
          <w:rFonts w:ascii="仿宋" w:eastAsia="仿宋" w:hAnsi="仿宋" w:hint="eastAsia"/>
          <w:sz w:val="32"/>
          <w:szCs w:val="32"/>
        </w:rPr>
        <w:t>（1）</w:t>
      </w:r>
      <w:r w:rsidR="0060413B" w:rsidRPr="0060413B">
        <w:rPr>
          <w:rStyle w:val="a6"/>
          <w:rFonts w:ascii="仿宋" w:eastAsia="仿宋" w:hAnsi="仿宋" w:cs="宋体"/>
          <w:kern w:val="0"/>
          <w:sz w:val="32"/>
          <w:szCs w:val="32"/>
        </w:rPr>
        <w:t>人事管理</w:t>
      </w:r>
      <w:r w:rsidR="0060413B">
        <w:rPr>
          <w:rFonts w:ascii="方正仿宋_GBK" w:eastAsia="方正仿宋_GBK"/>
          <w:sz w:val="28"/>
        </w:rPr>
        <w:t>。</w:t>
      </w:r>
      <w:r w:rsidR="0060413B" w:rsidRPr="0060413B">
        <w:rPr>
          <w:rFonts w:ascii="仿宋" w:eastAsia="仿宋" w:hAnsi="仿宋" w:cs="宋体"/>
          <w:kern w:val="0"/>
          <w:sz w:val="32"/>
          <w:szCs w:val="32"/>
        </w:rPr>
        <w:t>管理人事工资政策，负责人事考试和事业单位岗位设置管理及军转干部安置。加强对各设区市公务员职务任免工作的监督与指导，做好公务员招录工作，提高公务员依法行政、管理能力。事业单位一律实行合同管理，做到"应签尽签"；建立聘用合同登记制度，试行电子合同。参与分行业体制改革，制定事业单位改革方案。规范事业单位人事管理工作，研究制定事业单位竞聘上岗政策并组织实施，全面推行聘用制度，大力推行竞聘上岗制度。进一步深化事业单位人事制度改革，建立事业单位岗位动态管理机制。事业单位新进人员，全面实行公开招聘。组织全县军转干部培训工作并做好军转安置工作。落实解困政策，按时足额发放解困资金，并做好企业军转干部思想教育工作和稳控工作。</w:t>
      </w:r>
      <w:r w:rsidRPr="0060413B">
        <w:rPr>
          <w:rFonts w:ascii="仿宋" w:eastAsia="仿宋" w:hAnsi="仿宋" w:cs="宋体" w:hint="eastAsia"/>
          <w:kern w:val="0"/>
          <w:sz w:val="32"/>
          <w:szCs w:val="32"/>
        </w:rPr>
        <w:t>。</w:t>
      </w:r>
    </w:p>
    <w:p w:rsidR="0060413B" w:rsidRPr="0060413B" w:rsidRDefault="00912E95" w:rsidP="0060413B">
      <w:pPr>
        <w:ind w:firstLine="560"/>
        <w:rPr>
          <w:rFonts w:ascii="仿宋" w:eastAsia="仿宋" w:hAnsi="仿宋" w:cs="宋体"/>
          <w:kern w:val="0"/>
          <w:sz w:val="32"/>
          <w:szCs w:val="32"/>
        </w:rPr>
      </w:pPr>
      <w:r>
        <w:rPr>
          <w:rStyle w:val="a6"/>
          <w:rFonts w:ascii="仿宋" w:eastAsia="仿宋" w:hAnsi="仿宋" w:hint="eastAsia"/>
          <w:sz w:val="32"/>
          <w:szCs w:val="32"/>
        </w:rPr>
        <w:t>（2）</w:t>
      </w:r>
      <w:r w:rsidR="0060413B" w:rsidRPr="0060413B">
        <w:rPr>
          <w:rStyle w:val="a6"/>
          <w:rFonts w:ascii="仿宋" w:eastAsia="仿宋" w:hAnsi="仿宋" w:cs="宋体"/>
          <w:kern w:val="0"/>
          <w:sz w:val="32"/>
          <w:szCs w:val="32"/>
        </w:rPr>
        <w:t>劳动关系管理。</w:t>
      </w:r>
      <w:r w:rsidR="0060413B" w:rsidRPr="0060413B">
        <w:rPr>
          <w:rFonts w:ascii="仿宋" w:eastAsia="仿宋" w:hAnsi="仿宋" w:cs="宋体"/>
          <w:kern w:val="0"/>
          <w:sz w:val="32"/>
          <w:szCs w:val="32"/>
        </w:rPr>
        <w:t>完善劳动关系协调机制，制定消除非法使用童工政策和女工、未成年工的特殊劳动保护政策，组织实施劳动监察，协调劳动者维权工作，依法查处重大案件。提高劳动合同签订率，建立和谐劳动关系。</w:t>
      </w:r>
    </w:p>
    <w:p w:rsidR="0060413B" w:rsidRPr="0060413B" w:rsidRDefault="00912E95" w:rsidP="0060413B">
      <w:pPr>
        <w:ind w:firstLine="560"/>
        <w:rPr>
          <w:rFonts w:ascii="仿宋" w:eastAsia="仿宋" w:hAnsi="仿宋" w:cs="宋体"/>
          <w:kern w:val="0"/>
          <w:sz w:val="32"/>
          <w:szCs w:val="32"/>
        </w:rPr>
      </w:pPr>
      <w:r>
        <w:rPr>
          <w:rStyle w:val="a6"/>
          <w:rFonts w:ascii="仿宋" w:eastAsia="仿宋" w:hAnsi="仿宋" w:hint="eastAsia"/>
          <w:sz w:val="32"/>
          <w:szCs w:val="32"/>
        </w:rPr>
        <w:lastRenderedPageBreak/>
        <w:t>（3）</w:t>
      </w:r>
      <w:r w:rsidR="0060413B" w:rsidRPr="0060413B">
        <w:rPr>
          <w:rStyle w:val="a6"/>
          <w:rFonts w:ascii="仿宋" w:eastAsia="仿宋" w:hAnsi="仿宋" w:cs="宋体"/>
          <w:kern w:val="0"/>
          <w:sz w:val="32"/>
          <w:szCs w:val="32"/>
        </w:rPr>
        <w:t>人才队伍建设。</w:t>
      </w:r>
      <w:r w:rsidR="0060413B" w:rsidRPr="0060413B">
        <w:rPr>
          <w:rFonts w:ascii="仿宋" w:eastAsia="仿宋" w:hAnsi="仿宋" w:cs="宋体"/>
          <w:kern w:val="0"/>
          <w:sz w:val="32"/>
          <w:szCs w:val="32"/>
        </w:rPr>
        <w:t>管理职称工作，完成养老保险扩面征缴任务，确保养老金按时足额发放，防范基金风险，确保参保人员权益。</w:t>
      </w:r>
    </w:p>
    <w:p w:rsidR="0060413B" w:rsidRDefault="00912E95" w:rsidP="0060413B">
      <w:pPr>
        <w:ind w:firstLine="560"/>
        <w:rPr>
          <w:rFonts w:ascii="仿宋" w:eastAsia="仿宋" w:hAnsi="仿宋" w:cs="宋体" w:hint="eastAsia"/>
          <w:kern w:val="0"/>
          <w:sz w:val="32"/>
          <w:szCs w:val="32"/>
        </w:rPr>
      </w:pPr>
      <w:r>
        <w:rPr>
          <w:rStyle w:val="a6"/>
          <w:rFonts w:ascii="仿宋" w:eastAsia="仿宋" w:hAnsi="仿宋" w:hint="eastAsia"/>
          <w:sz w:val="32"/>
          <w:szCs w:val="32"/>
        </w:rPr>
        <w:t>（4）</w:t>
      </w:r>
      <w:r w:rsidR="0060413B" w:rsidRPr="0060413B">
        <w:rPr>
          <w:rStyle w:val="a6"/>
          <w:rFonts w:ascii="仿宋" w:eastAsia="仿宋" w:hAnsi="仿宋" w:cs="宋体"/>
          <w:kern w:val="0"/>
          <w:sz w:val="32"/>
          <w:szCs w:val="32"/>
        </w:rPr>
        <w:t>医疗保险。</w:t>
      </w:r>
      <w:r w:rsidR="0060413B" w:rsidRPr="0060413B">
        <w:rPr>
          <w:rFonts w:ascii="仿宋" w:eastAsia="仿宋" w:hAnsi="仿宋" w:cs="宋体"/>
          <w:kern w:val="0"/>
          <w:sz w:val="32"/>
          <w:szCs w:val="32"/>
        </w:rPr>
        <w:t>城镇职工基本医疗保险为全市参保职工提供基本医疗保险服务、负责基本医疗保险登记、个人权益记录、基本医疗保险待遇支付等工作。城镇职工基本医疗保险制度坚持广覆盖、保基本、多层次、可持续的方针，基本医疗保险水平要与我市经济发展水平和财政、企业、职工个人的承受能力相适应。基本医疗保险费由用人单位和职工共同缴纳。用人单位以在职职工和退休人员上年度工资总额作为基数，按7％的比例缴纳，财政应及时足额拨付。大病统筹基金专门用于支付参加大病统筹的人员超过基本医疗保险最高支付限额以上、20万元以下的住院、门诊特殊疾病医疗费用，按每人每年120元标准缴纳，由用人单位和参保人员各负担一半，单位部分由财政代扣代缴。持卡人可以凭卡就医，进行医疗保险个人账户结算。定点零售药店与医保中心实行计算机联网，为参保人员购药提供划卡结算服务；定点医院对参保人员的医疗费用要单独建账，单独管理，及时、准确的通过联网向医保中心上传参保人员医疗费用的发生情况。201</w:t>
      </w:r>
      <w:r w:rsidR="0060413B" w:rsidRPr="0060413B">
        <w:rPr>
          <w:rFonts w:ascii="仿宋" w:eastAsia="仿宋" w:hAnsi="仿宋" w:cs="宋体" w:hint="eastAsia"/>
          <w:kern w:val="0"/>
          <w:sz w:val="32"/>
          <w:szCs w:val="32"/>
        </w:rPr>
        <w:t>9</w:t>
      </w:r>
      <w:r w:rsidR="0060413B" w:rsidRPr="0060413B">
        <w:rPr>
          <w:rFonts w:ascii="仿宋" w:eastAsia="仿宋" w:hAnsi="仿宋" w:cs="宋体"/>
          <w:kern w:val="0"/>
          <w:sz w:val="32"/>
          <w:szCs w:val="32"/>
        </w:rPr>
        <w:t>年将实行廊坊市城镇基本医疗保险市级统筹，需以市医疗保险计算机管理系统为中枢，连接各级医保经办机构和所有定点单位，实行全市定点</w:t>
      </w:r>
      <w:r w:rsidR="0060413B" w:rsidRPr="0060413B">
        <w:rPr>
          <w:rFonts w:ascii="仿宋" w:eastAsia="仿宋" w:hAnsi="仿宋" w:cs="宋体"/>
          <w:kern w:val="0"/>
          <w:sz w:val="32"/>
          <w:szCs w:val="32"/>
        </w:rPr>
        <w:lastRenderedPageBreak/>
        <w:t>就医“一卡通”，方便参保人员就医。稽核率达到100%，避免冒名住院、挂牌住院发生。保证职工医保工作顺利开展。</w:t>
      </w:r>
    </w:p>
    <w:p w:rsidR="0060413B" w:rsidRDefault="0060413B" w:rsidP="0060413B">
      <w:pPr>
        <w:ind w:firstLine="560"/>
        <w:rPr>
          <w:rFonts w:ascii="仿宋" w:eastAsia="仿宋" w:hAnsi="仿宋" w:cs="宋体" w:hint="eastAsia"/>
          <w:kern w:val="0"/>
          <w:sz w:val="32"/>
          <w:szCs w:val="32"/>
        </w:rPr>
      </w:pPr>
      <w:r>
        <w:rPr>
          <w:rStyle w:val="a6"/>
          <w:rFonts w:ascii="仿宋" w:eastAsia="仿宋" w:hAnsi="仿宋" w:hint="eastAsia"/>
          <w:sz w:val="32"/>
          <w:szCs w:val="32"/>
        </w:rPr>
        <w:t>（5）</w:t>
      </w:r>
      <w:r w:rsidRPr="0060413B">
        <w:rPr>
          <w:rStyle w:val="a6"/>
          <w:rFonts w:ascii="仿宋" w:eastAsia="仿宋" w:hAnsi="仿宋"/>
          <w:sz w:val="32"/>
          <w:szCs w:val="32"/>
        </w:rPr>
        <w:t>促进就业管理。</w:t>
      </w:r>
      <w:r w:rsidRPr="0060413B">
        <w:rPr>
          <w:rFonts w:ascii="仿宋" w:eastAsia="仿宋" w:hAnsi="仿宋" w:cs="宋体"/>
          <w:kern w:val="0"/>
          <w:sz w:val="32"/>
          <w:szCs w:val="32"/>
        </w:rPr>
        <w:t>负责促进就业工作，促进社会就业。保持就业形势的基本稳定；实施免费的公共就业服务；提高劳动者素质，打造职业技术工人队伍，实现稳定就业。</w:t>
      </w:r>
    </w:p>
    <w:p w:rsidR="0060413B" w:rsidRPr="0060413B" w:rsidRDefault="0060413B" w:rsidP="0060413B">
      <w:pPr>
        <w:ind w:firstLine="560"/>
        <w:rPr>
          <w:rFonts w:ascii="仿宋" w:eastAsia="仿宋" w:hAnsi="仿宋" w:cs="宋体"/>
          <w:kern w:val="0"/>
          <w:sz w:val="32"/>
          <w:szCs w:val="32"/>
        </w:rPr>
      </w:pPr>
      <w:r w:rsidRPr="0060413B">
        <w:rPr>
          <w:rStyle w:val="a6"/>
          <w:rFonts w:ascii="仿宋" w:eastAsia="仿宋" w:hAnsi="仿宋" w:hint="eastAsia"/>
          <w:sz w:val="32"/>
          <w:szCs w:val="32"/>
        </w:rPr>
        <w:t>（6）</w:t>
      </w:r>
      <w:r w:rsidRPr="0060413B">
        <w:rPr>
          <w:rStyle w:val="a6"/>
          <w:rFonts w:ascii="仿宋" w:eastAsia="仿宋" w:hAnsi="仿宋"/>
          <w:sz w:val="32"/>
          <w:szCs w:val="32"/>
        </w:rPr>
        <w:t>城乡居民社会养老保险。</w:t>
      </w:r>
      <w:r w:rsidRPr="0060413B">
        <w:rPr>
          <w:rFonts w:ascii="仿宋" w:eastAsia="仿宋" w:hAnsi="仿宋" w:cs="宋体"/>
          <w:kern w:val="0"/>
          <w:sz w:val="32"/>
          <w:szCs w:val="32"/>
        </w:rPr>
        <w:t>贯彻执行中央和地方农村养老保险政策，并组织实施；负责养老保险费用的筹集、支付养老金等日常业务; 依法对农村养老保险基金进行管理、运营，并进行核算、平衡。对村支书参保人员缴费申请补贴；对符合待遇领取条件的参保人，足额、及时发放养老金。对申报领取丧葬补助金的人员审核，符合条件的，及时足额发放补助金。对符合条件的城乡重度残疾人参保缴费的，为其代缴养老保险费。对城居保参保人员缴费申请补贴。</w:t>
      </w:r>
    </w:p>
    <w:p w:rsidR="0060413B" w:rsidRDefault="0060413B" w:rsidP="0060413B">
      <w:pPr>
        <w:ind w:firstLine="560"/>
        <w:rPr>
          <w:rFonts w:ascii="方正仿宋_GBK" w:eastAsia="方正仿宋_GBK"/>
          <w:sz w:val="28"/>
        </w:rPr>
      </w:pPr>
      <w:r w:rsidRPr="0060413B">
        <w:rPr>
          <w:rFonts w:ascii="仿宋" w:eastAsia="仿宋" w:hAnsi="仿宋" w:cs="宋体" w:hint="eastAsia"/>
          <w:b/>
          <w:kern w:val="0"/>
          <w:sz w:val="32"/>
          <w:szCs w:val="32"/>
        </w:rPr>
        <w:t>（7）</w:t>
      </w:r>
      <w:r w:rsidRPr="0060413B">
        <w:rPr>
          <w:rStyle w:val="a6"/>
          <w:rFonts w:ascii="仿宋" w:eastAsia="仿宋" w:hAnsi="仿宋"/>
          <w:sz w:val="32"/>
          <w:szCs w:val="32"/>
        </w:rPr>
        <w:t>城镇居民医疗保险。</w:t>
      </w:r>
      <w:r w:rsidRPr="0060413B">
        <w:rPr>
          <w:rFonts w:ascii="仿宋" w:eastAsia="仿宋" w:hAnsi="仿宋" w:cs="宋体"/>
          <w:kern w:val="0"/>
          <w:sz w:val="32"/>
          <w:szCs w:val="32"/>
        </w:rPr>
        <w:t>城镇居民基本医疗保险为全市参保人员提供基本医疗保险服务、负责医疗保险登记、个人权益记录、基本医疗保险待遇支付等工作。城镇居民基本医疗保险制度坚持广覆盖、保基本、多层次、可持续的方针，医疗保险水平要与我市经济发展水平相适应。城镇居民基本医疗保险基金主要用于支付参保居民的住院和门诊大病、门诊抢救医疗费，支付范围和标准按照城镇居</w:t>
      </w:r>
      <w:r w:rsidRPr="0060413B">
        <w:rPr>
          <w:rFonts w:ascii="仿宋" w:eastAsia="仿宋" w:hAnsi="仿宋" w:cs="宋体"/>
          <w:kern w:val="0"/>
          <w:sz w:val="32"/>
          <w:szCs w:val="32"/>
        </w:rPr>
        <w:lastRenderedPageBreak/>
        <w:t>民基本医疗保险药品目录，诊疗项目和医疗服务设施范围和标准执行。个人缴费和各级财政补助及时足额到位，才能保证医疗保险待遇按时发放。持卡人可以凭卡就医，进行医疗保险个人账户结算。2016年将实行廊坊市城镇基本医疗保险市级统筹，需以市医疗保险计算机管理系统为中枢，连接各级医保经办机构和所有定点单位，实行全市定点就医“一卡通”，方便参保人员就医。稽核率达到100%，避免冒名住院、挂牌住院发生。保证居民医保工作顺利开展。</w:t>
      </w:r>
    </w:p>
    <w:p w:rsidR="0060413B" w:rsidRPr="0060413B" w:rsidRDefault="0060413B" w:rsidP="0060413B">
      <w:pPr>
        <w:ind w:firstLine="560"/>
        <w:rPr>
          <w:rFonts w:ascii="仿宋" w:eastAsia="仿宋" w:hAnsi="仿宋" w:cs="宋体"/>
          <w:kern w:val="0"/>
          <w:sz w:val="32"/>
          <w:szCs w:val="32"/>
        </w:rPr>
      </w:pPr>
      <w:r>
        <w:rPr>
          <w:rFonts w:ascii="仿宋" w:eastAsia="仿宋" w:hAnsi="仿宋" w:cs="宋体" w:hint="eastAsia"/>
          <w:b/>
          <w:kern w:val="0"/>
          <w:sz w:val="32"/>
          <w:szCs w:val="32"/>
        </w:rPr>
        <w:t>（8）</w:t>
      </w:r>
      <w:r w:rsidRPr="0060413B">
        <w:rPr>
          <w:rStyle w:val="a6"/>
          <w:rFonts w:ascii="仿宋" w:eastAsia="仿宋" w:hAnsi="仿宋" w:hint="eastAsia"/>
          <w:sz w:val="32"/>
          <w:szCs w:val="32"/>
        </w:rPr>
        <w:t>企业退休人员管理。</w:t>
      </w:r>
      <w:r w:rsidRPr="0060413B">
        <w:rPr>
          <w:rFonts w:ascii="仿宋" w:eastAsia="仿宋" w:hAnsi="仿宋" w:cs="宋体" w:hint="eastAsia"/>
          <w:kern w:val="0"/>
          <w:sz w:val="32"/>
          <w:szCs w:val="32"/>
        </w:rPr>
        <w:t>推进社会大和谐为目标，在实现基本养老金按时足额和社会化发放的基础上，充分整合利用城镇社区资源，采取有效措施，不断提高退休人员生活质量，开展企业离退休人员社会化管理服务工作，使企业离退休人员社会化管理服务工作趋向科学化，规范化，程序化。有效的杜绝虚领冒领退休养老金情况的发生。确保企业退休人员生存认证工作达到</w:t>
      </w:r>
      <w:r w:rsidRPr="0060413B">
        <w:rPr>
          <w:rFonts w:ascii="仿宋" w:eastAsia="仿宋" w:hAnsi="仿宋" w:cs="宋体"/>
          <w:kern w:val="0"/>
          <w:sz w:val="32"/>
          <w:szCs w:val="32"/>
        </w:rPr>
        <w:t>100%</w:t>
      </w:r>
      <w:r w:rsidRPr="0060413B">
        <w:rPr>
          <w:rFonts w:ascii="仿宋" w:eastAsia="仿宋" w:hAnsi="仿宋" w:cs="宋体" w:hint="eastAsia"/>
          <w:kern w:val="0"/>
          <w:sz w:val="32"/>
          <w:szCs w:val="32"/>
        </w:rPr>
        <w:t>，杜绝虚领冒领退休养老金情况的发生，确保企业退休人员基本养老金的及时发放，建立电子化、信息化的社会化管理服务网络，为社会化管理服务工作提供更加方便、快捷的服务。</w:t>
      </w:r>
    </w:p>
    <w:p w:rsidR="00A70E1F" w:rsidRDefault="00912E95" w:rsidP="0060413B">
      <w:pPr>
        <w:pStyle w:val="a5"/>
        <w:spacing w:before="0" w:beforeAutospacing="0" w:after="0" w:afterAutospacing="0" w:line="560" w:lineRule="exact"/>
        <w:ind w:firstLineChars="147" w:firstLine="472"/>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2、预算项目绩效评价开展情况</w:t>
      </w:r>
    </w:p>
    <w:p w:rsidR="00A70E1F" w:rsidRDefault="00912E95">
      <w:pPr>
        <w:spacing w:line="560" w:lineRule="exact"/>
        <w:ind w:firstLineChars="200" w:firstLine="640"/>
        <w:rPr>
          <w:rFonts w:ascii="仿宋" w:eastAsia="仿宋" w:hAnsi="仿宋"/>
          <w:sz w:val="32"/>
          <w:szCs w:val="32"/>
        </w:rPr>
      </w:pPr>
      <w:r>
        <w:rPr>
          <w:rFonts w:ascii="仿宋" w:eastAsia="仿宋" w:hAnsi="仿宋" w:hint="eastAsia"/>
          <w:sz w:val="32"/>
          <w:szCs w:val="32"/>
        </w:rPr>
        <w:t>（1）我部门高度重视预算支出绩效评价工作，成立了项目预算支出绩效评价领导小组，明确各</w:t>
      </w:r>
      <w:r>
        <w:rPr>
          <w:rFonts w:ascii="仿宋" w:eastAsia="仿宋" w:hAnsi="仿宋" w:hint="eastAsia"/>
          <w:sz w:val="32"/>
          <w:szCs w:val="32"/>
        </w:rPr>
        <w:lastRenderedPageBreak/>
        <w:t>职能股室的评价责任，进一步强化各股室对财政预算支出管理意识；</w:t>
      </w:r>
      <w:r>
        <w:rPr>
          <w:rFonts w:eastAsia="仿宋" w:hint="eastAsia"/>
          <w:sz w:val="32"/>
          <w:szCs w:val="32"/>
        </w:rPr>
        <w:t> </w:t>
      </w:r>
      <w:r>
        <w:rPr>
          <w:rFonts w:ascii="仿宋" w:eastAsia="仿宋" w:hAnsi="仿宋" w:hint="eastAsia"/>
          <w:sz w:val="32"/>
          <w:szCs w:val="32"/>
        </w:rPr>
        <w:t>建立了机关整体支出管理方面的内控制度，并不断进行完善和修订，对招待费、公务用车等支出进行了有效管控；</w:t>
      </w:r>
      <w:r>
        <w:rPr>
          <w:rFonts w:eastAsia="仿宋" w:hint="eastAsia"/>
          <w:sz w:val="32"/>
          <w:szCs w:val="32"/>
        </w:rPr>
        <w:t> </w:t>
      </w:r>
      <w:r>
        <w:rPr>
          <w:rFonts w:ascii="仿宋" w:eastAsia="仿宋" w:hAnsi="仿宋" w:hint="eastAsia"/>
          <w:sz w:val="32"/>
          <w:szCs w:val="32"/>
        </w:rPr>
        <w:t>严格制度执行，特别是“三公”经费的预算控制；加强对公务用车的管理，严格招待费用审核审批程序，“三公”经费较好地控制在预算范围之内。</w:t>
      </w:r>
    </w:p>
    <w:p w:rsidR="00A70E1F" w:rsidRDefault="00912E95">
      <w:pPr>
        <w:spacing w:line="560" w:lineRule="exact"/>
        <w:ind w:firstLineChars="200" w:firstLine="640"/>
        <w:rPr>
          <w:rFonts w:ascii="仿宋" w:eastAsia="仿宋" w:hAnsi="仿宋"/>
          <w:sz w:val="32"/>
          <w:szCs w:val="32"/>
        </w:rPr>
      </w:pPr>
      <w:r>
        <w:rPr>
          <w:rFonts w:ascii="仿宋" w:eastAsia="仿宋" w:hAnsi="仿宋" w:hint="eastAsia"/>
          <w:sz w:val="32"/>
          <w:szCs w:val="32"/>
        </w:rPr>
        <w:t>（2）绩效评价工作情况：本次绩效评价的目的是为了全面分析和综合评价我局本级财政预算资金的使用管理情况，为切实提高财政资金使用效益，强化预算支出的责任和效率提供参考依据；绩效评价工作过程，主要包括前期准备、组织实施和分析评价等内容，我们按绩效评价规程要求，第一阶段为前期准备：制定了详细的工作方案，确定评价指标细则；第二阶段为定性终评，并出具评价报告，通过查阅相关文件资料和财务凭证，对收集资料进行定量定性分析，综合评议后形成评价结论，出具绩效评价报告。</w:t>
      </w:r>
      <w:r w:rsidR="00D912FF">
        <w:rPr>
          <w:rFonts w:ascii="仿宋" w:eastAsia="仿宋" w:hAnsi="仿宋" w:hint="eastAsia"/>
          <w:sz w:val="32"/>
          <w:szCs w:val="32"/>
        </w:rPr>
        <w:t>2017年主要围绕城乡居民医疗保险、城乡居民养老保险、企事业单位养老保险与人才队伍建设等方面开展绩效评价工作，各项工作绩效评价成绩良好。基本达到了预期效果。纲要规划成果完成率95%，绩效指标评价为优，综合利用率为90%，绩效指标评价为良。</w:t>
      </w:r>
    </w:p>
    <w:p w:rsidR="00A70E1F" w:rsidRDefault="00912E9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A70E1F" w:rsidRDefault="00912E95">
      <w:pPr>
        <w:widowControl/>
        <w:spacing w:line="560" w:lineRule="exact"/>
        <w:ind w:firstLineChars="200" w:firstLine="643"/>
        <w:rPr>
          <w:rFonts w:ascii="仿宋" w:eastAsia="仿宋" w:hAnsi="仿宋"/>
          <w:sz w:val="32"/>
          <w:szCs w:val="32"/>
        </w:rPr>
      </w:pPr>
      <w:r>
        <w:rPr>
          <w:rFonts w:ascii="仿宋" w:eastAsia="仿宋" w:hAnsi="仿宋"/>
          <w:b/>
          <w:bCs/>
          <w:sz w:val="32"/>
          <w:szCs w:val="32"/>
        </w:rPr>
        <w:lastRenderedPageBreak/>
        <w:t>1</w:t>
      </w:r>
      <w:r>
        <w:rPr>
          <w:rFonts w:ascii="仿宋" w:eastAsia="仿宋" w:hAnsi="仿宋" w:hint="eastAsia"/>
          <w:b/>
          <w:bCs/>
          <w:sz w:val="32"/>
          <w:szCs w:val="32"/>
        </w:rPr>
        <w:t>、</w:t>
      </w:r>
      <w:r>
        <w:rPr>
          <w:rFonts w:ascii="仿宋" w:eastAsia="仿宋" w:hAnsi="仿宋"/>
          <w:b/>
          <w:bCs/>
          <w:sz w:val="32"/>
          <w:szCs w:val="32"/>
        </w:rPr>
        <w:t>机关运行经费情况</w:t>
      </w:r>
      <w:r>
        <w:rPr>
          <w:rFonts w:ascii="仿宋" w:eastAsia="仿宋" w:hAnsi="仿宋" w:hint="eastAsia"/>
          <w:b/>
          <w:bCs/>
          <w:sz w:val="32"/>
          <w:szCs w:val="32"/>
        </w:rPr>
        <w:t>：</w:t>
      </w:r>
      <w:r>
        <w:rPr>
          <w:rFonts w:ascii="仿宋" w:eastAsia="仿宋" w:hAnsi="仿宋" w:hint="eastAsia"/>
          <w:sz w:val="32"/>
          <w:szCs w:val="32"/>
        </w:rPr>
        <w:t>2017年度部门机关运行经费支出174.22万元，比2016年度</w:t>
      </w:r>
      <w:r>
        <w:rPr>
          <w:rFonts w:ascii="仿宋" w:eastAsia="仿宋" w:hAnsi="仿宋"/>
          <w:sz w:val="32"/>
          <w:szCs w:val="32"/>
        </w:rPr>
        <w:t>增加</w:t>
      </w:r>
      <w:r>
        <w:rPr>
          <w:rFonts w:ascii="仿宋" w:eastAsia="仿宋" w:hAnsi="仿宋" w:hint="eastAsia"/>
          <w:sz w:val="32"/>
          <w:szCs w:val="32"/>
        </w:rPr>
        <w:t>48.58万元，增长38.67%。主要原因是霸州市人力资源和社会保障局城镇居民医疗保险办公室与霸州市新型农村合作医疗管理中心合并为霸州市城乡居民医疗保险管理中心，增加了机关运行经费。</w:t>
      </w:r>
    </w:p>
    <w:p w:rsidR="00A70E1F" w:rsidRDefault="00912E95">
      <w:pPr>
        <w:autoSpaceDE w:val="0"/>
        <w:autoSpaceDN w:val="0"/>
        <w:snapToGrid w:val="0"/>
        <w:spacing w:line="560" w:lineRule="exact"/>
        <w:ind w:firstLineChars="200" w:firstLine="643"/>
        <w:rPr>
          <w:rFonts w:ascii="仿宋" w:eastAsia="仿宋" w:hAnsi="仿宋"/>
          <w:sz w:val="32"/>
          <w:szCs w:val="32"/>
        </w:rPr>
      </w:pPr>
      <w:r>
        <w:rPr>
          <w:rFonts w:ascii="仿宋" w:eastAsia="仿宋" w:hAnsi="仿宋"/>
          <w:b/>
          <w:bCs/>
          <w:sz w:val="32"/>
          <w:szCs w:val="32"/>
        </w:rPr>
        <w:t>2</w:t>
      </w:r>
      <w:r>
        <w:rPr>
          <w:rFonts w:ascii="仿宋" w:eastAsia="仿宋" w:hAnsi="仿宋" w:hint="eastAsia"/>
          <w:b/>
          <w:bCs/>
          <w:sz w:val="32"/>
          <w:szCs w:val="32"/>
        </w:rPr>
        <w:t>、</w:t>
      </w:r>
      <w:r>
        <w:rPr>
          <w:rFonts w:ascii="仿宋" w:eastAsia="仿宋" w:hAnsi="仿宋"/>
          <w:b/>
          <w:bCs/>
          <w:sz w:val="32"/>
          <w:szCs w:val="32"/>
        </w:rPr>
        <w:t>政府采购情况</w:t>
      </w:r>
      <w:r>
        <w:rPr>
          <w:rFonts w:ascii="仿宋" w:eastAsia="仿宋" w:hAnsi="仿宋" w:hint="eastAsia"/>
          <w:b/>
          <w:bCs/>
          <w:sz w:val="32"/>
          <w:szCs w:val="32"/>
        </w:rPr>
        <w:t>：</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w:t>
      </w:r>
      <w:r>
        <w:rPr>
          <w:rFonts w:ascii="仿宋" w:eastAsia="仿宋" w:hAnsi="仿宋" w:hint="eastAsia"/>
          <w:sz w:val="32"/>
          <w:szCs w:val="32"/>
        </w:rPr>
        <w:t>度部门</w:t>
      </w:r>
      <w:r>
        <w:rPr>
          <w:rFonts w:ascii="仿宋" w:eastAsia="仿宋" w:hAnsi="仿宋"/>
          <w:sz w:val="32"/>
          <w:szCs w:val="32"/>
        </w:rPr>
        <w:t>政府采购</w:t>
      </w:r>
      <w:r>
        <w:rPr>
          <w:rFonts w:ascii="仿宋" w:eastAsia="仿宋" w:hAnsi="仿宋" w:hint="eastAsia"/>
          <w:sz w:val="32"/>
          <w:szCs w:val="32"/>
        </w:rPr>
        <w:t>支出199.21</w:t>
      </w:r>
      <w:r>
        <w:rPr>
          <w:rFonts w:ascii="仿宋" w:eastAsia="仿宋" w:hAnsi="仿宋"/>
          <w:sz w:val="32"/>
          <w:szCs w:val="32"/>
        </w:rPr>
        <w:t>万元</w:t>
      </w:r>
      <w:r>
        <w:rPr>
          <w:rFonts w:ascii="仿宋" w:eastAsia="仿宋" w:hAnsi="仿宋" w:hint="eastAsia"/>
          <w:sz w:val="32"/>
          <w:szCs w:val="32"/>
        </w:rPr>
        <w:t>，其中：政府采购货物支出158.31万元，政府采购工程支出0万元，政府采购服务支出40.90万元。</w:t>
      </w:r>
    </w:p>
    <w:p w:rsidR="00A70E1F" w:rsidRDefault="00912E95">
      <w:pPr>
        <w:widowControl/>
        <w:spacing w:line="560" w:lineRule="exact"/>
        <w:ind w:firstLineChars="200" w:firstLine="643"/>
        <w:rPr>
          <w:rFonts w:ascii="仿宋" w:eastAsia="仿宋" w:hAnsi="仿宋"/>
          <w:sz w:val="32"/>
          <w:szCs w:val="32"/>
        </w:rPr>
      </w:pPr>
      <w:r>
        <w:rPr>
          <w:rFonts w:ascii="仿宋" w:eastAsia="仿宋" w:hAnsi="仿宋"/>
          <w:b/>
          <w:bCs/>
          <w:sz w:val="32"/>
          <w:szCs w:val="32"/>
        </w:rPr>
        <w:t>3</w:t>
      </w:r>
      <w:r>
        <w:rPr>
          <w:rFonts w:ascii="仿宋" w:eastAsia="仿宋" w:hAnsi="仿宋" w:hint="eastAsia"/>
          <w:b/>
          <w:bCs/>
          <w:sz w:val="32"/>
          <w:szCs w:val="32"/>
        </w:rPr>
        <w:t>、</w:t>
      </w:r>
      <w:r>
        <w:rPr>
          <w:rFonts w:ascii="仿宋" w:eastAsia="仿宋" w:hAnsi="仿宋"/>
          <w:b/>
          <w:bCs/>
          <w:sz w:val="32"/>
          <w:szCs w:val="32"/>
        </w:rPr>
        <w:t>国有资产占用情况</w:t>
      </w:r>
      <w:r>
        <w:rPr>
          <w:rFonts w:ascii="仿宋" w:eastAsia="仿宋" w:hAnsi="仿宋" w:hint="eastAsia"/>
          <w:b/>
          <w:bCs/>
          <w:sz w:val="32"/>
          <w:szCs w:val="32"/>
        </w:rPr>
        <w:t>:</w:t>
      </w:r>
      <w:r>
        <w:rPr>
          <w:rFonts w:ascii="仿宋" w:eastAsia="仿宋" w:hAnsi="仿宋" w:hint="eastAsia"/>
          <w:sz w:val="32"/>
          <w:szCs w:val="32"/>
        </w:rPr>
        <w:t>截至2017年12月31日，本部门共有车辆16辆，其中，一般公务用车16辆；单位价值50万元以上通用设备0台（套），单价100万元以上专用设备0台（套）。</w:t>
      </w:r>
    </w:p>
    <w:p w:rsidR="00A70E1F" w:rsidRDefault="00A70E1F">
      <w:pPr>
        <w:widowControl/>
        <w:spacing w:line="560" w:lineRule="exact"/>
        <w:ind w:firstLineChars="200" w:firstLine="640"/>
        <w:rPr>
          <w:rFonts w:ascii="仿宋" w:eastAsia="仿宋" w:hAnsi="仿宋"/>
          <w:sz w:val="32"/>
          <w:szCs w:val="32"/>
        </w:rPr>
      </w:pPr>
    </w:p>
    <w:p w:rsidR="00A70E1F" w:rsidRDefault="00912E95">
      <w:r>
        <w:br w:type="page"/>
      </w:r>
    </w:p>
    <w:tbl>
      <w:tblPr>
        <w:tblW w:w="8900" w:type="dxa"/>
        <w:jc w:val="center"/>
        <w:tblInd w:w="93" w:type="dxa"/>
        <w:tblLayout w:type="fixed"/>
        <w:tblLook w:val="04A0"/>
      </w:tblPr>
      <w:tblGrid>
        <w:gridCol w:w="3449"/>
        <w:gridCol w:w="2081"/>
        <w:gridCol w:w="3370"/>
      </w:tblGrid>
      <w:tr w:rsidR="00A70E1F">
        <w:trPr>
          <w:trHeight w:val="575"/>
          <w:jc w:val="center"/>
        </w:trPr>
        <w:tc>
          <w:tcPr>
            <w:tcW w:w="8900" w:type="dxa"/>
            <w:gridSpan w:val="3"/>
            <w:tcBorders>
              <w:top w:val="nil"/>
              <w:left w:val="nil"/>
              <w:bottom w:val="nil"/>
              <w:right w:val="nil"/>
            </w:tcBorders>
            <w:vAlign w:val="center"/>
          </w:tcPr>
          <w:p w:rsidR="00A70E1F" w:rsidRDefault="00912E95">
            <w:pPr>
              <w:widowControl/>
              <w:spacing w:line="560" w:lineRule="exact"/>
              <w:ind w:firstLineChars="200" w:firstLine="562"/>
              <w:jc w:val="center"/>
              <w:rPr>
                <w:rFonts w:ascii="宋体" w:hAnsi="宋体" w:cs="宋体"/>
                <w:b/>
                <w:bCs/>
                <w:kern w:val="0"/>
                <w:sz w:val="28"/>
                <w:szCs w:val="28"/>
              </w:rPr>
            </w:pPr>
            <w:r>
              <w:rPr>
                <w:rFonts w:ascii="宋体" w:hAnsi="宋体" w:cs="宋体" w:hint="eastAsia"/>
                <w:b/>
                <w:bCs/>
                <w:kern w:val="0"/>
                <w:sz w:val="28"/>
                <w:szCs w:val="28"/>
              </w:rPr>
              <w:lastRenderedPageBreak/>
              <w:t>霸州市劳动和社会保障部门固定资产占用情况表</w:t>
            </w:r>
          </w:p>
        </w:tc>
      </w:tr>
      <w:tr w:rsidR="00A70E1F">
        <w:trPr>
          <w:trHeight w:val="493"/>
          <w:jc w:val="center"/>
        </w:trPr>
        <w:tc>
          <w:tcPr>
            <w:tcW w:w="5530" w:type="dxa"/>
            <w:gridSpan w:val="2"/>
            <w:tcBorders>
              <w:top w:val="nil"/>
              <w:left w:val="nil"/>
              <w:bottom w:val="nil"/>
              <w:right w:val="nil"/>
            </w:tcBorders>
            <w:vAlign w:val="center"/>
          </w:tcPr>
          <w:p w:rsidR="00A70E1F" w:rsidRDefault="00912E95">
            <w:pPr>
              <w:widowControl/>
              <w:spacing w:line="560" w:lineRule="exact"/>
              <w:rPr>
                <w:kern w:val="0"/>
                <w:sz w:val="22"/>
              </w:rPr>
            </w:pPr>
            <w:r>
              <w:rPr>
                <w:rFonts w:ascii="宋体" w:hAnsi="宋体" w:cs="宋体" w:hint="eastAsia"/>
                <w:kern w:val="0"/>
                <w:sz w:val="22"/>
              </w:rPr>
              <w:t>编制部门：805霸州市劳动和社会保障部门</w:t>
            </w:r>
          </w:p>
        </w:tc>
        <w:tc>
          <w:tcPr>
            <w:tcW w:w="3370" w:type="dxa"/>
            <w:tcBorders>
              <w:top w:val="nil"/>
              <w:left w:val="nil"/>
              <w:bottom w:val="nil"/>
              <w:right w:val="nil"/>
            </w:tcBorders>
            <w:vAlign w:val="center"/>
          </w:tcPr>
          <w:p w:rsidR="00A70E1F" w:rsidRDefault="00912E95">
            <w:pPr>
              <w:widowControl/>
              <w:spacing w:line="560" w:lineRule="exact"/>
              <w:ind w:firstLineChars="100" w:firstLine="220"/>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A70E1F">
        <w:trPr>
          <w:trHeight w:val="571"/>
          <w:jc w:val="center"/>
        </w:trPr>
        <w:tc>
          <w:tcPr>
            <w:tcW w:w="3449" w:type="dxa"/>
            <w:tcBorders>
              <w:top w:val="single" w:sz="4" w:space="0" w:color="auto"/>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2"/>
              <w:rPr>
                <w:b/>
                <w:bCs/>
                <w:kern w:val="0"/>
                <w:sz w:val="22"/>
              </w:rPr>
            </w:pPr>
            <w:r>
              <w:rPr>
                <w:b/>
                <w:bCs/>
                <w:kern w:val="0"/>
                <w:sz w:val="22"/>
              </w:rPr>
              <w:t>项目</w:t>
            </w:r>
          </w:p>
        </w:tc>
        <w:tc>
          <w:tcPr>
            <w:tcW w:w="2081" w:type="dxa"/>
            <w:tcBorders>
              <w:top w:val="single" w:sz="4" w:space="0" w:color="auto"/>
              <w:left w:val="nil"/>
              <w:bottom w:val="single" w:sz="4" w:space="0" w:color="auto"/>
              <w:right w:val="single" w:sz="4" w:space="0" w:color="auto"/>
            </w:tcBorders>
            <w:vAlign w:val="center"/>
          </w:tcPr>
          <w:p w:rsidR="00A70E1F" w:rsidRDefault="00912E95">
            <w:pPr>
              <w:widowControl/>
              <w:spacing w:line="560" w:lineRule="exact"/>
              <w:ind w:firstLineChars="200" w:firstLine="442"/>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A70E1F" w:rsidRDefault="00912E95">
            <w:pPr>
              <w:widowControl/>
              <w:spacing w:line="560" w:lineRule="exact"/>
              <w:ind w:firstLineChars="200" w:firstLine="442"/>
              <w:rPr>
                <w:b/>
                <w:bCs/>
                <w:kern w:val="0"/>
                <w:sz w:val="22"/>
              </w:rPr>
            </w:pPr>
            <w:r>
              <w:rPr>
                <w:b/>
                <w:bCs/>
                <w:kern w:val="0"/>
                <w:sz w:val="22"/>
              </w:rPr>
              <w:t>价值（金额单位：万元）</w:t>
            </w:r>
          </w:p>
        </w:tc>
      </w:tr>
      <w:tr w:rsidR="00A70E1F">
        <w:trPr>
          <w:trHeight w:val="571"/>
          <w:jc w:val="center"/>
        </w:trPr>
        <w:tc>
          <w:tcPr>
            <w:tcW w:w="3449" w:type="dxa"/>
            <w:tcBorders>
              <w:top w:val="nil"/>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A70E1F" w:rsidRDefault="00912E95" w:rsidP="00CE4ACB">
            <w:pPr>
              <w:widowControl/>
              <w:spacing w:line="560" w:lineRule="exact"/>
              <w:ind w:firstLineChars="200" w:firstLine="440"/>
              <w:rPr>
                <w:kern w:val="0"/>
                <w:sz w:val="22"/>
              </w:rPr>
            </w:pPr>
            <w:r>
              <w:rPr>
                <w:rFonts w:hint="eastAsia"/>
                <w:kern w:val="0"/>
                <w:sz w:val="22"/>
              </w:rPr>
              <w:t>979.8</w:t>
            </w:r>
            <w:r w:rsidR="00CE4ACB">
              <w:rPr>
                <w:rFonts w:hint="eastAsia"/>
                <w:kern w:val="0"/>
                <w:sz w:val="22"/>
              </w:rPr>
              <w:t>1</w:t>
            </w:r>
          </w:p>
        </w:tc>
      </w:tr>
      <w:tr w:rsidR="00A70E1F">
        <w:trPr>
          <w:trHeight w:val="571"/>
          <w:jc w:val="center"/>
        </w:trPr>
        <w:tc>
          <w:tcPr>
            <w:tcW w:w="3449" w:type="dxa"/>
            <w:tcBorders>
              <w:top w:val="nil"/>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A70E1F" w:rsidRDefault="00A70E1F">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A70E1F" w:rsidRDefault="00912E95" w:rsidP="00CE4ACB">
            <w:pPr>
              <w:widowControl/>
              <w:spacing w:line="560" w:lineRule="exact"/>
              <w:ind w:firstLineChars="200" w:firstLine="440"/>
              <w:rPr>
                <w:kern w:val="0"/>
                <w:sz w:val="22"/>
              </w:rPr>
            </w:pPr>
            <w:r>
              <w:rPr>
                <w:rFonts w:hint="eastAsia"/>
                <w:kern w:val="0"/>
                <w:sz w:val="22"/>
              </w:rPr>
              <w:t>127.6</w:t>
            </w:r>
            <w:r w:rsidR="00CE4ACB">
              <w:rPr>
                <w:rFonts w:hint="eastAsia"/>
                <w:kern w:val="0"/>
                <w:sz w:val="22"/>
              </w:rPr>
              <w:t>2</w:t>
            </w:r>
          </w:p>
        </w:tc>
      </w:tr>
      <w:tr w:rsidR="00A70E1F">
        <w:trPr>
          <w:trHeight w:val="571"/>
          <w:jc w:val="center"/>
        </w:trPr>
        <w:tc>
          <w:tcPr>
            <w:tcW w:w="3449" w:type="dxa"/>
            <w:tcBorders>
              <w:top w:val="nil"/>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A70E1F" w:rsidRDefault="00A70E1F">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A70E1F" w:rsidRDefault="00912E95" w:rsidP="00CE4ACB">
            <w:pPr>
              <w:widowControl/>
              <w:spacing w:line="560" w:lineRule="exact"/>
              <w:ind w:firstLineChars="200" w:firstLine="440"/>
              <w:rPr>
                <w:kern w:val="0"/>
                <w:sz w:val="22"/>
              </w:rPr>
            </w:pPr>
            <w:r>
              <w:rPr>
                <w:rFonts w:hint="eastAsia"/>
                <w:kern w:val="0"/>
                <w:sz w:val="22"/>
              </w:rPr>
              <w:t>127.6</w:t>
            </w:r>
            <w:r w:rsidR="00CE4ACB">
              <w:rPr>
                <w:rFonts w:hint="eastAsia"/>
                <w:kern w:val="0"/>
                <w:sz w:val="22"/>
              </w:rPr>
              <w:t>2</w:t>
            </w:r>
          </w:p>
        </w:tc>
      </w:tr>
      <w:tr w:rsidR="00A70E1F">
        <w:trPr>
          <w:trHeight w:val="571"/>
          <w:jc w:val="center"/>
        </w:trPr>
        <w:tc>
          <w:tcPr>
            <w:tcW w:w="3449" w:type="dxa"/>
            <w:tcBorders>
              <w:top w:val="nil"/>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16</w:t>
            </w:r>
          </w:p>
        </w:tc>
        <w:tc>
          <w:tcPr>
            <w:tcW w:w="3370" w:type="dxa"/>
            <w:tcBorders>
              <w:top w:val="nil"/>
              <w:left w:val="nil"/>
              <w:bottom w:val="single" w:sz="4" w:space="0" w:color="auto"/>
              <w:right w:val="single" w:sz="4" w:space="0" w:color="auto"/>
            </w:tcBorders>
            <w:vAlign w:val="center"/>
          </w:tcPr>
          <w:p w:rsidR="00A70E1F" w:rsidRDefault="00CE4ACB">
            <w:pPr>
              <w:widowControl/>
              <w:spacing w:line="560" w:lineRule="exact"/>
              <w:ind w:firstLineChars="200" w:firstLine="440"/>
              <w:rPr>
                <w:kern w:val="0"/>
                <w:sz w:val="22"/>
              </w:rPr>
            </w:pPr>
            <w:r>
              <w:rPr>
                <w:rFonts w:hint="eastAsia"/>
                <w:kern w:val="0"/>
                <w:sz w:val="22"/>
              </w:rPr>
              <w:t>265.09</w:t>
            </w:r>
          </w:p>
        </w:tc>
      </w:tr>
      <w:tr w:rsidR="00A70E1F">
        <w:trPr>
          <w:trHeight w:val="571"/>
          <w:jc w:val="center"/>
        </w:trPr>
        <w:tc>
          <w:tcPr>
            <w:tcW w:w="3449" w:type="dxa"/>
            <w:tcBorders>
              <w:top w:val="nil"/>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A70E1F" w:rsidRDefault="00A70E1F">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A70E1F" w:rsidRDefault="00A70E1F">
            <w:pPr>
              <w:widowControl/>
              <w:spacing w:line="560" w:lineRule="exact"/>
              <w:ind w:firstLineChars="200" w:firstLine="440"/>
              <w:rPr>
                <w:kern w:val="0"/>
                <w:sz w:val="22"/>
              </w:rPr>
            </w:pPr>
            <w:bookmarkStart w:id="0" w:name="_GoBack"/>
            <w:bookmarkEnd w:id="0"/>
          </w:p>
        </w:tc>
      </w:tr>
      <w:tr w:rsidR="00A70E1F">
        <w:trPr>
          <w:trHeight w:val="613"/>
          <w:jc w:val="center"/>
        </w:trPr>
        <w:tc>
          <w:tcPr>
            <w:tcW w:w="3449" w:type="dxa"/>
            <w:tcBorders>
              <w:top w:val="nil"/>
              <w:left w:val="single" w:sz="4" w:space="0" w:color="auto"/>
              <w:bottom w:val="single" w:sz="4" w:space="0" w:color="auto"/>
              <w:right w:val="single" w:sz="4" w:space="0" w:color="auto"/>
            </w:tcBorders>
            <w:vAlign w:val="center"/>
          </w:tcPr>
          <w:p w:rsidR="00A70E1F" w:rsidRDefault="00912E95">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A70E1F" w:rsidRDefault="00A70E1F">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A70E1F" w:rsidRDefault="00CE4ACB">
            <w:pPr>
              <w:widowControl/>
              <w:spacing w:line="560" w:lineRule="exact"/>
              <w:ind w:firstLineChars="200" w:firstLine="440"/>
              <w:rPr>
                <w:kern w:val="0"/>
                <w:sz w:val="22"/>
              </w:rPr>
            </w:pPr>
            <w:r>
              <w:rPr>
                <w:rFonts w:hint="eastAsia"/>
                <w:kern w:val="0"/>
                <w:sz w:val="22"/>
              </w:rPr>
              <w:t>587.1</w:t>
            </w:r>
          </w:p>
        </w:tc>
      </w:tr>
    </w:tbl>
    <w:p w:rsidR="005B7F3F" w:rsidRDefault="00912E95">
      <w:pPr>
        <w:widowControl/>
        <w:spacing w:line="560" w:lineRule="exact"/>
        <w:ind w:firstLineChars="200" w:firstLine="643"/>
        <w:rPr>
          <w:rFonts w:ascii="仿宋" w:eastAsia="仿宋" w:hAnsi="仿宋"/>
          <w:b/>
          <w:bCs/>
          <w:sz w:val="32"/>
          <w:szCs w:val="32"/>
        </w:rPr>
      </w:pPr>
      <w:r>
        <w:rPr>
          <w:rFonts w:ascii="仿宋" w:eastAsia="仿宋" w:hAnsi="仿宋"/>
          <w:b/>
          <w:bCs/>
          <w:sz w:val="32"/>
          <w:szCs w:val="32"/>
        </w:rPr>
        <w:t>4</w:t>
      </w:r>
      <w:r>
        <w:rPr>
          <w:rFonts w:ascii="仿宋" w:eastAsia="仿宋" w:hAnsi="仿宋" w:hint="eastAsia"/>
          <w:b/>
          <w:bCs/>
          <w:sz w:val="32"/>
          <w:szCs w:val="32"/>
        </w:rPr>
        <w:t>、</w:t>
      </w:r>
      <w:r>
        <w:rPr>
          <w:rFonts w:ascii="仿宋" w:eastAsia="仿宋" w:hAnsi="仿宋"/>
          <w:b/>
          <w:bCs/>
          <w:sz w:val="32"/>
          <w:szCs w:val="32"/>
        </w:rPr>
        <w:t>其他需要说明的情况</w:t>
      </w:r>
      <w:r>
        <w:rPr>
          <w:rFonts w:ascii="仿宋" w:eastAsia="仿宋" w:hAnsi="仿宋" w:hint="eastAsia"/>
          <w:b/>
          <w:bCs/>
          <w:sz w:val="32"/>
          <w:szCs w:val="32"/>
        </w:rPr>
        <w:t xml:space="preserve">: </w:t>
      </w:r>
    </w:p>
    <w:p w:rsidR="00A70E1F" w:rsidRDefault="005B7F3F" w:rsidP="005B7F3F">
      <w:pPr>
        <w:widowControl/>
        <w:spacing w:line="560" w:lineRule="exact"/>
        <w:ind w:firstLineChars="200" w:firstLine="640"/>
        <w:rPr>
          <w:rFonts w:ascii="仿宋" w:eastAsia="仿宋" w:hAnsi="仿宋"/>
          <w:sz w:val="32"/>
          <w:szCs w:val="32"/>
        </w:rPr>
      </w:pPr>
      <w:r w:rsidRPr="005B7F3F">
        <w:rPr>
          <w:rFonts w:ascii="仿宋" w:eastAsia="仿宋" w:hAnsi="仿宋" w:hint="eastAsia"/>
          <w:bCs/>
          <w:sz w:val="32"/>
          <w:szCs w:val="32"/>
        </w:rPr>
        <w:t>（1）</w:t>
      </w:r>
      <w:r w:rsidR="00912E95">
        <w:rPr>
          <w:rFonts w:ascii="仿宋" w:eastAsia="仿宋" w:hAnsi="仿宋" w:hint="eastAsia"/>
          <w:sz w:val="32"/>
          <w:szCs w:val="32"/>
        </w:rPr>
        <w:t>霸州市人力资源和社会保障局城镇居民医疗保险办公室与霸州市新型农村合作医疗管理中心合并为霸州市城乡居民医疗保险管理中心，并入了我部门决算。</w:t>
      </w:r>
    </w:p>
    <w:p w:rsidR="005B7F3F" w:rsidRDefault="005B7F3F" w:rsidP="005B7F3F">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（2）由于决算公开表格中金额数值应当保留两位小数，公开数据为四舍五入计算结果，个别数据合计项与分项之和存在小数后差额，特此说明。</w:t>
      </w:r>
    </w:p>
    <w:p w:rsidR="00A70E1F" w:rsidRDefault="00912E95">
      <w:pPr>
        <w:autoSpaceDE w:val="0"/>
        <w:autoSpaceDN w:val="0"/>
        <w:adjustRightInd w:val="0"/>
        <w:spacing w:line="560" w:lineRule="exact"/>
        <w:ind w:firstLineChars="200" w:firstLine="640"/>
        <w:rPr>
          <w:rFonts w:ascii="仿宋" w:eastAsia="仿宋" w:hAnsi="仿宋" w:cs="仿宋"/>
          <w:color w:val="FF0000"/>
          <w:sz w:val="32"/>
          <w:szCs w:val="32"/>
        </w:rPr>
      </w:pPr>
      <w:r>
        <w:rPr>
          <w:rFonts w:eastAsia="黑体" w:hint="eastAsia"/>
          <w:sz w:val="32"/>
          <w:szCs w:val="32"/>
        </w:rPr>
        <w:lastRenderedPageBreak/>
        <w:t>四、</w:t>
      </w:r>
      <w:r>
        <w:rPr>
          <w:rFonts w:eastAsia="黑体"/>
          <w:sz w:val="32"/>
          <w:szCs w:val="32"/>
        </w:rPr>
        <w:t>名词解释</w:t>
      </w:r>
    </w:p>
    <w:p w:rsidR="00A70E1F" w:rsidRDefault="00912E95">
      <w:pPr>
        <w:widowControl/>
        <w:spacing w:line="560" w:lineRule="exact"/>
        <w:ind w:firstLineChars="200" w:firstLine="640"/>
        <w:rPr>
          <w:rFonts w:ascii="仿宋" w:eastAsia="仿宋" w:hAnsi="仿宋"/>
          <w:sz w:val="32"/>
          <w:szCs w:val="32"/>
        </w:rPr>
      </w:pPr>
      <w:r>
        <w:rPr>
          <w:rFonts w:eastAsia="仿宋_GB2312"/>
          <w:color w:val="000000"/>
          <w:kern w:val="0"/>
          <w:sz w:val="32"/>
          <w:szCs w:val="32"/>
        </w:rPr>
        <w:t>（</w:t>
      </w:r>
      <w:r>
        <w:rPr>
          <w:rFonts w:ascii="仿宋" w:eastAsia="仿宋" w:hAnsi="仿宋"/>
          <w:sz w:val="32"/>
          <w:szCs w:val="32"/>
        </w:rPr>
        <w:t>一）财政拨款收入：本年度从本级财政部门取得的财政拨款，包括一般公共预算财政拨款和政府性基金预算财政拨款。</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（二）事业收入：指事业单位开展专业业务活动及辅助活动所取得的收入。</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（三）其他收入：指除上述“财政拨款收入”、“事业收入”、“经营收入”等以外的收入。</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（五）年初结转和结余：指以前年度尚未完成、结转到本年仍按原规定用途继续使用的资金，或项目已完成等产生的结余资金。</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（六）结余分配：指事业单位按照事业单位会计制度的规定从非财政补助结余中分配的事业基金和职工福利基金等。</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（七）年末结转和结余：指单位按有关规定结转到下年或以后年度继续使用的资金，或项目已完成等产生的结余资金。</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lastRenderedPageBreak/>
        <w:t>（八）基本支出：填列单位为保障机构正常运转、完成日常工作任务而发生的各项支出。</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（九）项目支出：填列单位为完成特定的行政工作任务或事业发展目标，在基本支出之外发生的各项支出</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十）基建设支本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lastRenderedPageBreak/>
        <w:t>（十三）其他交通费用：填列单位除公务用车运行维护费以外的其他交通费用。如飞机、船舶等的燃料费、维修费、过桥过路费、保险费、出租车费用、公务交通补贴等。</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（十四）公务用车购置：填列单位公务用车车辆购置支出（含车辆购置税）。</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（十五）其他交通工具购置：填列单位除公务用车外的其他各类交通工具（如船舶、飞机）购置支出（含车辆购置税）。</w:t>
      </w:r>
    </w:p>
    <w:p w:rsidR="00A70E1F" w:rsidRDefault="00912E95">
      <w:pPr>
        <w:widowControl/>
        <w:spacing w:line="560" w:lineRule="exact"/>
        <w:ind w:firstLineChars="200" w:firstLine="640"/>
        <w:rPr>
          <w:rFonts w:ascii="仿宋" w:eastAsia="仿宋" w:hAnsi="仿宋"/>
          <w:sz w:val="32"/>
          <w:szCs w:val="32"/>
        </w:rPr>
      </w:pPr>
      <w:r>
        <w:rPr>
          <w:rFonts w:ascii="仿宋" w:eastAsia="仿宋" w:hAnsi="仿宋"/>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70E1F" w:rsidRDefault="00A70E1F">
      <w:pPr>
        <w:rPr>
          <w:rFonts w:ascii="仿宋" w:eastAsia="仿宋" w:hAnsi="仿宋"/>
          <w:sz w:val="32"/>
          <w:szCs w:val="32"/>
        </w:rPr>
      </w:pPr>
    </w:p>
    <w:sectPr w:rsidR="00A70E1F" w:rsidSect="00A70E1F">
      <w:footerReference w:type="even" r:id="rId8"/>
      <w:pgSz w:w="16838" w:h="11906" w:orient="landscape"/>
      <w:pgMar w:top="1701" w:right="1440" w:bottom="1701"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82" w:rsidRDefault="00A42782" w:rsidP="00A70E1F">
      <w:r>
        <w:separator/>
      </w:r>
    </w:p>
  </w:endnote>
  <w:endnote w:type="continuationSeparator" w:id="0">
    <w:p w:rsidR="00A42782" w:rsidRDefault="00A42782" w:rsidP="00A7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F" w:rsidRDefault="00CA082F">
    <w:pPr>
      <w:pStyle w:val="a3"/>
      <w:framePr w:wrap="around" w:vAnchor="text" w:hAnchor="margin" w:xAlign="center" w:y="1"/>
      <w:rPr>
        <w:rStyle w:val="a7"/>
      </w:rPr>
    </w:pPr>
    <w:r>
      <w:fldChar w:fldCharType="begin"/>
    </w:r>
    <w:r w:rsidR="00912E95">
      <w:rPr>
        <w:rStyle w:val="a7"/>
      </w:rPr>
      <w:instrText xml:space="preserve">PAGE  </w:instrText>
    </w:r>
    <w:r>
      <w:fldChar w:fldCharType="end"/>
    </w:r>
  </w:p>
  <w:p w:rsidR="00A70E1F" w:rsidRDefault="00A70E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82" w:rsidRDefault="00A42782" w:rsidP="00A70E1F">
      <w:r>
        <w:separator/>
      </w:r>
    </w:p>
  </w:footnote>
  <w:footnote w:type="continuationSeparator" w:id="0">
    <w:p w:rsidR="00A42782" w:rsidRDefault="00A42782" w:rsidP="00A70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87781"/>
    <w:multiLevelType w:val="singleLevel"/>
    <w:tmpl w:val="88A87781"/>
    <w:lvl w:ilvl="0">
      <w:start w:val="1"/>
      <w:numFmt w:val="chineseCounting"/>
      <w:suff w:val="nothing"/>
      <w:lvlText w:val="（%1）"/>
      <w:lvlJc w:val="left"/>
      <w:rPr>
        <w:rFonts w:hint="eastAsia"/>
      </w:rPr>
    </w:lvl>
  </w:abstractNum>
  <w:abstractNum w:abstractNumId="1">
    <w:nsid w:val="5F6E5825"/>
    <w:multiLevelType w:val="singleLevel"/>
    <w:tmpl w:val="5F6E5825"/>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attachedTemplate r:id="rId1"/>
  <w:defaultTabStop w:val="420"/>
  <w:drawingGridHorizontalSpacing w:val="105"/>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4408"/>
    <w:rsid w:val="00023CE0"/>
    <w:rsid w:val="00052DDA"/>
    <w:rsid w:val="00080A23"/>
    <w:rsid w:val="000A41A4"/>
    <w:rsid w:val="001E070B"/>
    <w:rsid w:val="0025656E"/>
    <w:rsid w:val="00284F32"/>
    <w:rsid w:val="00295B2C"/>
    <w:rsid w:val="0034113C"/>
    <w:rsid w:val="0035401A"/>
    <w:rsid w:val="0037139C"/>
    <w:rsid w:val="00395B57"/>
    <w:rsid w:val="003C3201"/>
    <w:rsid w:val="00401DC6"/>
    <w:rsid w:val="00427398"/>
    <w:rsid w:val="004A3887"/>
    <w:rsid w:val="005B7F3F"/>
    <w:rsid w:val="005F5A40"/>
    <w:rsid w:val="0060413B"/>
    <w:rsid w:val="00612A5A"/>
    <w:rsid w:val="00614BE8"/>
    <w:rsid w:val="00691BCE"/>
    <w:rsid w:val="006E2B7B"/>
    <w:rsid w:val="00736D70"/>
    <w:rsid w:val="0074693E"/>
    <w:rsid w:val="00776749"/>
    <w:rsid w:val="007965C9"/>
    <w:rsid w:val="00912E95"/>
    <w:rsid w:val="00962A1A"/>
    <w:rsid w:val="00964408"/>
    <w:rsid w:val="00A42782"/>
    <w:rsid w:val="00A70E1F"/>
    <w:rsid w:val="00A97043"/>
    <w:rsid w:val="00AB2588"/>
    <w:rsid w:val="00B23AD6"/>
    <w:rsid w:val="00B36339"/>
    <w:rsid w:val="00B55321"/>
    <w:rsid w:val="00B575E1"/>
    <w:rsid w:val="00B832AB"/>
    <w:rsid w:val="00BE36D5"/>
    <w:rsid w:val="00C36D0E"/>
    <w:rsid w:val="00CA082F"/>
    <w:rsid w:val="00CE4ACB"/>
    <w:rsid w:val="00D21CFB"/>
    <w:rsid w:val="00D2576B"/>
    <w:rsid w:val="00D77ECB"/>
    <w:rsid w:val="00D819DB"/>
    <w:rsid w:val="00D912FF"/>
    <w:rsid w:val="00DB1904"/>
    <w:rsid w:val="00DD5714"/>
    <w:rsid w:val="00DF2D90"/>
    <w:rsid w:val="00E8686D"/>
    <w:rsid w:val="00F04617"/>
    <w:rsid w:val="00FB7733"/>
    <w:rsid w:val="01E741A2"/>
    <w:rsid w:val="0EF74DBA"/>
    <w:rsid w:val="225300B1"/>
    <w:rsid w:val="4E65704A"/>
    <w:rsid w:val="56867FF9"/>
    <w:rsid w:val="58CD389D"/>
    <w:rsid w:val="70915E85"/>
    <w:rsid w:val="73CC2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1F"/>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70E1F"/>
    <w:pPr>
      <w:tabs>
        <w:tab w:val="center" w:pos="4153"/>
        <w:tab w:val="right" w:pos="8306"/>
      </w:tabs>
      <w:snapToGrid w:val="0"/>
      <w:jc w:val="left"/>
    </w:pPr>
    <w:rPr>
      <w:sz w:val="18"/>
    </w:rPr>
  </w:style>
  <w:style w:type="paragraph" w:styleId="a4">
    <w:name w:val="header"/>
    <w:basedOn w:val="a"/>
    <w:qFormat/>
    <w:rsid w:val="00A70E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A70E1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A70E1F"/>
    <w:rPr>
      <w:b/>
      <w:bCs/>
    </w:rPr>
  </w:style>
  <w:style w:type="character" w:styleId="a7">
    <w:name w:val="page number"/>
    <w:basedOn w:val="a0"/>
    <w:qFormat/>
    <w:rsid w:val="00A70E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41</TotalTime>
  <Pages>19</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Administrator</cp:lastModifiedBy>
  <cp:revision>9</cp:revision>
  <cp:lastPrinted>2018-10-10T00:45:00Z</cp:lastPrinted>
  <dcterms:created xsi:type="dcterms:W3CDTF">2019-01-17T02:36:00Z</dcterms:created>
  <dcterms:modified xsi:type="dcterms:W3CDTF">2019-01-29T07:25:00Z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